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820C" w14:textId="77777777" w:rsidR="00027E31" w:rsidRPr="00A13E3E" w:rsidRDefault="00027E31" w:rsidP="002B44C2">
      <w:pPr>
        <w:pStyle w:val="NormalWeb"/>
        <w:jc w:val="center"/>
        <w:rPr>
          <w:b/>
          <w:bCs/>
          <w:color w:val="000000"/>
          <w:sz w:val="32"/>
          <w:szCs w:val="32"/>
        </w:rPr>
      </w:pPr>
      <w:r w:rsidRPr="00A13E3E">
        <w:rPr>
          <w:b/>
          <w:bCs/>
          <w:color w:val="000000"/>
          <w:sz w:val="32"/>
          <w:szCs w:val="32"/>
        </w:rPr>
        <w:t>Online Capacity Development Workshop</w:t>
      </w:r>
    </w:p>
    <w:p w14:paraId="4287A41A" w14:textId="4622245B" w:rsidR="00027E31" w:rsidRPr="00A13E3E" w:rsidRDefault="00027E31" w:rsidP="002B44C2">
      <w:pPr>
        <w:jc w:val="center"/>
        <w:rPr>
          <w:rFonts w:ascii="Times New Roman" w:eastAsia="Times New Roman" w:hAnsi="Times New Roman" w:cs="Times New Roman"/>
          <w:b/>
          <w:bCs/>
          <w:color w:val="000000"/>
          <w:kern w:val="0"/>
          <w:sz w:val="32"/>
          <w:szCs w:val="32"/>
          <w14:ligatures w14:val="none"/>
        </w:rPr>
      </w:pPr>
      <w:r w:rsidRPr="00A13E3E">
        <w:rPr>
          <w:rFonts w:ascii="Times New Roman" w:eastAsia="Times New Roman" w:hAnsi="Times New Roman" w:cs="Times New Roman"/>
          <w:b/>
          <w:bCs/>
          <w:color w:val="000000"/>
          <w:kern w:val="0"/>
          <w:sz w:val="32"/>
          <w:szCs w:val="32"/>
          <w14:ligatures w14:val="none"/>
        </w:rPr>
        <w:t>Monitoring SDG 1.4.2</w:t>
      </w:r>
      <w:r w:rsidR="00F71C18" w:rsidRPr="00A13E3E">
        <w:rPr>
          <w:rFonts w:ascii="Times New Roman" w:eastAsia="Times New Roman" w:hAnsi="Times New Roman" w:cs="Times New Roman"/>
          <w:b/>
          <w:bCs/>
          <w:color w:val="000000"/>
          <w:kern w:val="0"/>
          <w:sz w:val="32"/>
          <w:szCs w:val="32"/>
          <w14:ligatures w14:val="none"/>
        </w:rPr>
        <w:t xml:space="preserve"> </w:t>
      </w:r>
      <w:r w:rsidR="00877D42" w:rsidRPr="00A13E3E">
        <w:rPr>
          <w:rFonts w:ascii="Times New Roman" w:eastAsia="Times New Roman" w:hAnsi="Times New Roman" w:cs="Times New Roman"/>
          <w:b/>
          <w:bCs/>
          <w:color w:val="000000"/>
          <w:kern w:val="0"/>
          <w:sz w:val="32"/>
          <w:szCs w:val="32"/>
          <w14:ligatures w14:val="none"/>
        </w:rPr>
        <w:t>through</w:t>
      </w:r>
      <w:r w:rsidRPr="00A13E3E">
        <w:rPr>
          <w:rFonts w:ascii="Times New Roman" w:eastAsia="Times New Roman" w:hAnsi="Times New Roman" w:cs="Times New Roman"/>
          <w:b/>
          <w:bCs/>
          <w:color w:val="000000"/>
          <w:kern w:val="0"/>
          <w:sz w:val="32"/>
          <w:szCs w:val="32"/>
          <w14:ligatures w14:val="none"/>
        </w:rPr>
        <w:t xml:space="preserve"> Administrative </w:t>
      </w:r>
      <w:r w:rsidR="00877D42" w:rsidRPr="00A13E3E">
        <w:rPr>
          <w:rFonts w:ascii="Times New Roman" w:eastAsia="Times New Roman" w:hAnsi="Times New Roman" w:cs="Times New Roman"/>
          <w:b/>
          <w:bCs/>
          <w:color w:val="000000"/>
          <w:kern w:val="0"/>
          <w:sz w:val="32"/>
          <w:szCs w:val="32"/>
          <w14:ligatures w14:val="none"/>
        </w:rPr>
        <w:t>R</w:t>
      </w:r>
      <w:r w:rsidR="0037658C" w:rsidRPr="00A13E3E">
        <w:rPr>
          <w:rFonts w:ascii="Times New Roman" w:eastAsia="Times New Roman" w:hAnsi="Times New Roman" w:cs="Times New Roman"/>
          <w:b/>
          <w:bCs/>
          <w:color w:val="000000"/>
          <w:kern w:val="0"/>
          <w:sz w:val="32"/>
          <w:szCs w:val="32"/>
          <w14:ligatures w14:val="none"/>
        </w:rPr>
        <w:t>ecords</w:t>
      </w:r>
      <w:r w:rsidR="007F448C" w:rsidRPr="00A13E3E">
        <w:rPr>
          <w:rFonts w:ascii="Times New Roman" w:eastAsia="Times New Roman" w:hAnsi="Times New Roman" w:cs="Times New Roman"/>
          <w:b/>
          <w:bCs/>
          <w:color w:val="000000"/>
          <w:kern w:val="0"/>
          <w:sz w:val="32"/>
          <w:szCs w:val="32"/>
          <w14:ligatures w14:val="none"/>
        </w:rPr>
        <w:t xml:space="preserve"> in the Arab Region</w:t>
      </w:r>
    </w:p>
    <w:p w14:paraId="1FA281E5" w14:textId="77777777" w:rsidR="00306F21" w:rsidRPr="0075541C" w:rsidRDefault="00306F21" w:rsidP="002B44C2">
      <w:pPr>
        <w:pStyle w:val="NormalWeb"/>
        <w:spacing w:before="0" w:beforeAutospacing="0" w:after="0" w:afterAutospacing="0"/>
        <w:rPr>
          <w:b/>
          <w:bCs/>
          <w:color w:val="000000"/>
          <w:sz w:val="22"/>
          <w:szCs w:val="22"/>
        </w:rPr>
      </w:pPr>
    </w:p>
    <w:p w14:paraId="3F536219" w14:textId="6E324021" w:rsidR="00027E31" w:rsidRPr="0075541C" w:rsidRDefault="00EC317E" w:rsidP="007E5950">
      <w:pPr>
        <w:pStyle w:val="NormalWeb"/>
        <w:spacing w:before="0" w:beforeAutospacing="0" w:after="120" w:afterAutospacing="0"/>
        <w:rPr>
          <w:color w:val="000000"/>
          <w:sz w:val="22"/>
          <w:szCs w:val="22"/>
        </w:rPr>
      </w:pPr>
      <w:r w:rsidRPr="0075541C">
        <w:rPr>
          <w:b/>
          <w:bCs/>
          <w:color w:val="000000"/>
          <w:sz w:val="22"/>
          <w:szCs w:val="22"/>
        </w:rPr>
        <w:t>Date:</w:t>
      </w:r>
      <w:r w:rsidRPr="0075541C">
        <w:rPr>
          <w:color w:val="000000"/>
          <w:sz w:val="22"/>
          <w:szCs w:val="22"/>
        </w:rPr>
        <w:t xml:space="preserve"> </w:t>
      </w:r>
      <w:r w:rsidR="00027E31" w:rsidRPr="0075541C">
        <w:rPr>
          <w:color w:val="000000"/>
          <w:sz w:val="22"/>
          <w:szCs w:val="22"/>
        </w:rPr>
        <w:t>4 July 2024</w:t>
      </w:r>
      <w:r w:rsidR="002B44C2" w:rsidRPr="0075541C">
        <w:rPr>
          <w:color w:val="000000"/>
          <w:sz w:val="22"/>
          <w:szCs w:val="22"/>
        </w:rPr>
        <w:t xml:space="preserve">. </w:t>
      </w:r>
      <w:r w:rsidR="004C2E2B" w:rsidRPr="0075541C">
        <w:rPr>
          <w:color w:val="000000"/>
          <w:sz w:val="22"/>
          <w:szCs w:val="22"/>
        </w:rPr>
        <w:t>11</w:t>
      </w:r>
      <w:r w:rsidR="002B44C2" w:rsidRPr="0075541C">
        <w:rPr>
          <w:color w:val="000000"/>
          <w:sz w:val="22"/>
          <w:szCs w:val="22"/>
        </w:rPr>
        <w:t>:00-1</w:t>
      </w:r>
      <w:r w:rsidR="004C2E2B" w:rsidRPr="0075541C">
        <w:rPr>
          <w:color w:val="000000"/>
          <w:sz w:val="22"/>
          <w:szCs w:val="22"/>
        </w:rPr>
        <w:t>3</w:t>
      </w:r>
      <w:r w:rsidR="002B44C2" w:rsidRPr="0075541C">
        <w:rPr>
          <w:color w:val="000000"/>
          <w:sz w:val="22"/>
          <w:szCs w:val="22"/>
        </w:rPr>
        <w:t>:00 (</w:t>
      </w:r>
      <w:r w:rsidR="004C2E2B" w:rsidRPr="0075541C">
        <w:rPr>
          <w:color w:val="000000"/>
          <w:sz w:val="22"/>
          <w:szCs w:val="22"/>
        </w:rPr>
        <w:t>Beirut time zone</w:t>
      </w:r>
      <w:r w:rsidR="002B44C2" w:rsidRPr="0075541C">
        <w:rPr>
          <w:color w:val="000000"/>
          <w:sz w:val="22"/>
          <w:szCs w:val="22"/>
        </w:rPr>
        <w:t>)</w:t>
      </w:r>
    </w:p>
    <w:p w14:paraId="7CE72DF9" w14:textId="3AF6E0D7" w:rsidR="00027E31" w:rsidRPr="0075541C" w:rsidRDefault="00EC317E" w:rsidP="00A13E3E">
      <w:pPr>
        <w:pStyle w:val="NormalWeb"/>
        <w:spacing w:before="0" w:beforeAutospacing="0" w:after="120" w:afterAutospacing="0"/>
        <w:rPr>
          <w:color w:val="000000"/>
          <w:sz w:val="22"/>
          <w:szCs w:val="22"/>
        </w:rPr>
      </w:pPr>
      <w:r w:rsidRPr="0075541C">
        <w:rPr>
          <w:b/>
          <w:bCs/>
          <w:color w:val="000000"/>
          <w:sz w:val="22"/>
          <w:szCs w:val="22"/>
        </w:rPr>
        <w:t>Platform:</w:t>
      </w:r>
      <w:r w:rsidRPr="0075541C">
        <w:rPr>
          <w:color w:val="000000"/>
          <w:sz w:val="22"/>
          <w:szCs w:val="22"/>
        </w:rPr>
        <w:t xml:space="preserve"> </w:t>
      </w:r>
      <w:r w:rsidR="00027E31" w:rsidRPr="0075541C">
        <w:rPr>
          <w:color w:val="000000"/>
          <w:sz w:val="22"/>
          <w:szCs w:val="22"/>
        </w:rPr>
        <w:t>Online Teams Platform (</w:t>
      </w:r>
      <w:r w:rsidR="001223CF" w:rsidRPr="0075541C">
        <w:rPr>
          <w:color w:val="000000"/>
          <w:sz w:val="22"/>
          <w:szCs w:val="22"/>
        </w:rPr>
        <w:t xml:space="preserve">Registration </w:t>
      </w:r>
      <w:hyperlink r:id="rId7" w:history="1">
        <w:r w:rsidR="00027E31" w:rsidRPr="0075541C">
          <w:rPr>
            <w:rStyle w:val="Hyperlink"/>
            <w:sz w:val="22"/>
            <w:szCs w:val="22"/>
          </w:rPr>
          <w:t>Link</w:t>
        </w:r>
      </w:hyperlink>
      <w:r w:rsidR="00027E31" w:rsidRPr="0075541C">
        <w:rPr>
          <w:color w:val="000000"/>
          <w:sz w:val="22"/>
          <w:szCs w:val="22"/>
        </w:rPr>
        <w:t>)</w:t>
      </w:r>
    </w:p>
    <w:p w14:paraId="4E3F6B0C" w14:textId="648D459E" w:rsidR="00027E31" w:rsidRPr="0075541C" w:rsidRDefault="009B747B" w:rsidP="00BE39DE">
      <w:pPr>
        <w:pStyle w:val="NormalWeb"/>
        <w:spacing w:before="0" w:beforeAutospacing="0" w:after="120" w:afterAutospacing="0"/>
        <w:rPr>
          <w:color w:val="000000"/>
          <w:sz w:val="22"/>
          <w:szCs w:val="22"/>
        </w:rPr>
      </w:pPr>
      <w:r w:rsidRPr="0075541C">
        <w:rPr>
          <w:b/>
          <w:bCs/>
          <w:color w:val="000000"/>
          <w:sz w:val="22"/>
          <w:szCs w:val="22"/>
        </w:rPr>
        <w:t xml:space="preserve">Organizers: </w:t>
      </w:r>
      <w:r w:rsidRPr="0075541C">
        <w:rPr>
          <w:color w:val="000000"/>
          <w:sz w:val="22"/>
          <w:szCs w:val="22"/>
        </w:rPr>
        <w:t>United Nations Economic and Social Commission for Western Asia (ESCWA)</w:t>
      </w:r>
      <w:r w:rsidR="005920E7" w:rsidRPr="0075541C">
        <w:rPr>
          <w:color w:val="000000"/>
          <w:sz w:val="22"/>
          <w:szCs w:val="22"/>
        </w:rPr>
        <w:t>, UN-Habitat, Global Land Tool Network (GLTN) and Arab Land Initiative</w:t>
      </w:r>
    </w:p>
    <w:p w14:paraId="734342E3" w14:textId="084C6596" w:rsidR="009B747B" w:rsidRPr="0075541C" w:rsidRDefault="009B747B" w:rsidP="009B747B">
      <w:pPr>
        <w:pStyle w:val="NormalWeb"/>
        <w:rPr>
          <w:color w:val="000000"/>
          <w:sz w:val="22"/>
          <w:szCs w:val="22"/>
        </w:rPr>
      </w:pPr>
      <w:r w:rsidRPr="0075541C">
        <w:rPr>
          <w:b/>
          <w:bCs/>
          <w:color w:val="000000"/>
          <w:sz w:val="22"/>
          <w:szCs w:val="22"/>
        </w:rPr>
        <w:t>Language:</w:t>
      </w:r>
      <w:r w:rsidRPr="0075541C">
        <w:rPr>
          <w:color w:val="000000"/>
          <w:sz w:val="22"/>
          <w:szCs w:val="22"/>
        </w:rPr>
        <w:t xml:space="preserve"> English </w:t>
      </w:r>
      <w:r w:rsidR="005920E7" w:rsidRPr="0075541C">
        <w:rPr>
          <w:color w:val="000000"/>
          <w:sz w:val="22"/>
          <w:szCs w:val="22"/>
        </w:rPr>
        <w:t>and</w:t>
      </w:r>
      <w:r w:rsidRPr="0075541C">
        <w:rPr>
          <w:color w:val="000000"/>
          <w:sz w:val="22"/>
          <w:szCs w:val="22"/>
        </w:rPr>
        <w:t xml:space="preserve"> Arabic</w:t>
      </w:r>
    </w:p>
    <w:p w14:paraId="2558DEBB" w14:textId="1FC4429B" w:rsidR="0019185A" w:rsidRPr="0075541C" w:rsidRDefault="00306F21" w:rsidP="00306F21">
      <w:pPr>
        <w:pStyle w:val="NormalWeb"/>
        <w:rPr>
          <w:sz w:val="22"/>
          <w:szCs w:val="22"/>
        </w:rPr>
      </w:pPr>
      <w:r w:rsidRPr="0075541C">
        <w:rPr>
          <w:b/>
          <w:bCs/>
          <w:sz w:val="22"/>
          <w:szCs w:val="22"/>
        </w:rPr>
        <w:t>Background</w:t>
      </w:r>
      <w:r w:rsidR="00013676" w:rsidRPr="0075541C">
        <w:rPr>
          <w:sz w:val="22"/>
          <w:szCs w:val="22"/>
        </w:rPr>
        <w:t xml:space="preserve"> </w:t>
      </w:r>
    </w:p>
    <w:p w14:paraId="75929F88" w14:textId="6FED2E5D" w:rsidR="00E430B6" w:rsidRPr="0075541C" w:rsidRDefault="00E052EE" w:rsidP="001066F7">
      <w:pPr>
        <w:pStyle w:val="NormalWeb"/>
        <w:rPr>
          <w:sz w:val="22"/>
          <w:szCs w:val="22"/>
        </w:rPr>
      </w:pPr>
      <w:r w:rsidRPr="0075541C">
        <w:rPr>
          <w:sz w:val="22"/>
          <w:szCs w:val="22"/>
        </w:rPr>
        <w:t xml:space="preserve">Land is a key economic resource </w:t>
      </w:r>
      <w:r w:rsidR="00D01194" w:rsidRPr="0075541C">
        <w:rPr>
          <w:sz w:val="22"/>
          <w:szCs w:val="22"/>
        </w:rPr>
        <w:t xml:space="preserve">integral </w:t>
      </w:r>
      <w:r w:rsidRPr="0075541C">
        <w:rPr>
          <w:sz w:val="22"/>
          <w:szCs w:val="22"/>
        </w:rPr>
        <w:t>to</w:t>
      </w:r>
      <w:r w:rsidR="00D01194" w:rsidRPr="0075541C">
        <w:rPr>
          <w:sz w:val="22"/>
          <w:szCs w:val="22"/>
        </w:rPr>
        <w:t xml:space="preserve"> access,</w:t>
      </w:r>
      <w:r w:rsidRPr="0075541C">
        <w:rPr>
          <w:sz w:val="22"/>
          <w:szCs w:val="22"/>
        </w:rPr>
        <w:t xml:space="preserve"> use and control over </w:t>
      </w:r>
      <w:r w:rsidR="00E403C2" w:rsidRPr="0075541C">
        <w:rPr>
          <w:sz w:val="22"/>
          <w:szCs w:val="22"/>
        </w:rPr>
        <w:t xml:space="preserve">other </w:t>
      </w:r>
      <w:r w:rsidRPr="0075541C">
        <w:rPr>
          <w:sz w:val="22"/>
          <w:szCs w:val="22"/>
        </w:rPr>
        <w:t xml:space="preserve">productive </w:t>
      </w:r>
      <w:r w:rsidR="00E403C2" w:rsidRPr="0075541C">
        <w:rPr>
          <w:sz w:val="22"/>
          <w:szCs w:val="22"/>
        </w:rPr>
        <w:t>assets</w:t>
      </w:r>
      <w:r w:rsidRPr="0075541C">
        <w:rPr>
          <w:sz w:val="22"/>
          <w:szCs w:val="22"/>
        </w:rPr>
        <w:t>. Recog</w:t>
      </w:r>
      <w:r w:rsidR="00E403C2" w:rsidRPr="0075541C">
        <w:rPr>
          <w:sz w:val="22"/>
          <w:szCs w:val="22"/>
        </w:rPr>
        <w:t xml:space="preserve">nizing </w:t>
      </w:r>
      <w:r w:rsidRPr="0075541C">
        <w:rPr>
          <w:sz w:val="22"/>
          <w:szCs w:val="22"/>
        </w:rPr>
        <w:t>this</w:t>
      </w:r>
      <w:r w:rsidR="00E403C2" w:rsidRPr="0075541C">
        <w:rPr>
          <w:sz w:val="22"/>
          <w:szCs w:val="22"/>
        </w:rPr>
        <w:t xml:space="preserve">, </w:t>
      </w:r>
      <w:r w:rsidR="00B81AF7" w:rsidRPr="0075541C">
        <w:rPr>
          <w:sz w:val="22"/>
          <w:szCs w:val="22"/>
        </w:rPr>
        <w:t xml:space="preserve">the </w:t>
      </w:r>
      <w:proofErr w:type="gramStart"/>
      <w:r w:rsidR="00B81AF7" w:rsidRPr="0075541C">
        <w:rPr>
          <w:sz w:val="22"/>
          <w:szCs w:val="22"/>
        </w:rPr>
        <w:t>Agenda</w:t>
      </w:r>
      <w:proofErr w:type="gramEnd"/>
      <w:r w:rsidR="00B81AF7" w:rsidRPr="0075541C">
        <w:rPr>
          <w:sz w:val="22"/>
          <w:szCs w:val="22"/>
        </w:rPr>
        <w:t xml:space="preserve"> 2030 for Sustainable Development emphasizes</w:t>
      </w:r>
      <w:r w:rsidR="001066F7" w:rsidRPr="0075541C">
        <w:rPr>
          <w:sz w:val="22"/>
          <w:szCs w:val="22"/>
        </w:rPr>
        <w:t xml:space="preserve"> strengthening </w:t>
      </w:r>
      <w:r w:rsidRPr="0075541C">
        <w:rPr>
          <w:sz w:val="22"/>
          <w:szCs w:val="22"/>
        </w:rPr>
        <w:t xml:space="preserve">tenure security for all, </w:t>
      </w:r>
      <w:r w:rsidR="001066F7" w:rsidRPr="0075541C">
        <w:rPr>
          <w:sz w:val="22"/>
          <w:szCs w:val="22"/>
        </w:rPr>
        <w:t xml:space="preserve">particularly under </w:t>
      </w:r>
      <w:r w:rsidR="002E6763" w:rsidRPr="0075541C">
        <w:rPr>
          <w:sz w:val="22"/>
          <w:szCs w:val="22"/>
        </w:rPr>
        <w:t>Goal</w:t>
      </w:r>
      <w:r w:rsidR="001066F7" w:rsidRPr="0075541C">
        <w:rPr>
          <w:sz w:val="22"/>
          <w:szCs w:val="22"/>
        </w:rPr>
        <w:t xml:space="preserve"> 1,</w:t>
      </w:r>
      <w:r w:rsidR="0067298D" w:rsidRPr="0075541C">
        <w:rPr>
          <w:sz w:val="22"/>
          <w:szCs w:val="22"/>
        </w:rPr>
        <w:t xml:space="preserve"> focused on </w:t>
      </w:r>
      <w:r w:rsidR="001658BE" w:rsidRPr="0075541C">
        <w:rPr>
          <w:sz w:val="22"/>
          <w:szCs w:val="22"/>
        </w:rPr>
        <w:t xml:space="preserve">ending </w:t>
      </w:r>
      <w:r w:rsidR="0067298D" w:rsidRPr="0075541C">
        <w:rPr>
          <w:sz w:val="22"/>
          <w:szCs w:val="22"/>
        </w:rPr>
        <w:t>poverty</w:t>
      </w:r>
      <w:r w:rsidR="005736C8" w:rsidRPr="0075541C">
        <w:rPr>
          <w:sz w:val="22"/>
          <w:szCs w:val="22"/>
        </w:rPr>
        <w:t xml:space="preserve">. </w:t>
      </w:r>
    </w:p>
    <w:p w14:paraId="7C8F8B55" w14:textId="43F2D3AE" w:rsidR="00365F5F" w:rsidRPr="0075541C" w:rsidRDefault="00365F5F" w:rsidP="00176778">
      <w:pPr>
        <w:pStyle w:val="NormalWeb"/>
        <w:rPr>
          <w:sz w:val="22"/>
          <w:szCs w:val="22"/>
        </w:rPr>
      </w:pPr>
      <w:r w:rsidRPr="0075541C">
        <w:rPr>
          <w:sz w:val="22"/>
          <w:szCs w:val="22"/>
        </w:rPr>
        <w:t>SDG i</w:t>
      </w:r>
      <w:r w:rsidR="006D5B89" w:rsidRPr="0075541C">
        <w:rPr>
          <w:sz w:val="22"/>
          <w:szCs w:val="22"/>
        </w:rPr>
        <w:t xml:space="preserve">ndicator 1.4.2 focuses on </w:t>
      </w:r>
      <w:r w:rsidR="002E6763" w:rsidRPr="0075541C">
        <w:rPr>
          <w:sz w:val="22"/>
          <w:szCs w:val="22"/>
        </w:rPr>
        <w:t xml:space="preserve">achieving </w:t>
      </w:r>
      <w:r w:rsidR="00877D44" w:rsidRPr="00A13E3E">
        <w:t xml:space="preserve">secure tenure </w:t>
      </w:r>
      <w:r w:rsidR="00877D44" w:rsidRPr="0075541C">
        <w:rPr>
          <w:sz w:val="22"/>
          <w:szCs w:val="22"/>
        </w:rPr>
        <w:t>rights to land</w:t>
      </w:r>
      <w:r w:rsidR="00F85302" w:rsidRPr="0075541C">
        <w:rPr>
          <w:sz w:val="22"/>
          <w:szCs w:val="22"/>
        </w:rPr>
        <w:t>,</w:t>
      </w:r>
      <w:r w:rsidR="00E430B6" w:rsidRPr="0075541C">
        <w:rPr>
          <w:sz w:val="22"/>
          <w:szCs w:val="22"/>
        </w:rPr>
        <w:t xml:space="preserve"> for both women and men</w:t>
      </w:r>
      <w:r w:rsidRPr="0075541C">
        <w:rPr>
          <w:sz w:val="22"/>
          <w:szCs w:val="22"/>
        </w:rPr>
        <w:t>, which is</w:t>
      </w:r>
      <w:r w:rsidR="00F85302" w:rsidRPr="0075541C">
        <w:rPr>
          <w:sz w:val="22"/>
          <w:szCs w:val="22"/>
        </w:rPr>
        <w:t xml:space="preserve"> </w:t>
      </w:r>
      <w:r w:rsidR="001066F7" w:rsidRPr="0075541C">
        <w:rPr>
          <w:sz w:val="22"/>
          <w:szCs w:val="22"/>
        </w:rPr>
        <w:t xml:space="preserve">crucial </w:t>
      </w:r>
      <w:r w:rsidR="00F85302" w:rsidRPr="0075541C">
        <w:rPr>
          <w:sz w:val="22"/>
          <w:szCs w:val="22"/>
        </w:rPr>
        <w:t xml:space="preserve">for economic </w:t>
      </w:r>
      <w:r w:rsidR="00877D44" w:rsidRPr="0075541C">
        <w:rPr>
          <w:sz w:val="22"/>
          <w:szCs w:val="22"/>
        </w:rPr>
        <w:t>e</w:t>
      </w:r>
      <w:r w:rsidR="006D5B89" w:rsidRPr="0075541C">
        <w:rPr>
          <w:sz w:val="22"/>
          <w:szCs w:val="22"/>
        </w:rPr>
        <w:t>mpowerment, poverty reduction</w:t>
      </w:r>
      <w:r w:rsidR="00A14A64" w:rsidRPr="0075541C">
        <w:rPr>
          <w:sz w:val="22"/>
          <w:szCs w:val="22"/>
        </w:rPr>
        <w:t>.</w:t>
      </w:r>
      <w:r w:rsidR="001658BE" w:rsidRPr="0075541C">
        <w:rPr>
          <w:sz w:val="22"/>
          <w:szCs w:val="22"/>
        </w:rPr>
        <w:t xml:space="preserve"> </w:t>
      </w:r>
      <w:r w:rsidR="00A14A64" w:rsidRPr="0075541C">
        <w:rPr>
          <w:sz w:val="22"/>
          <w:szCs w:val="22"/>
        </w:rPr>
        <w:t>I</w:t>
      </w:r>
      <w:r w:rsidR="00E052EE" w:rsidRPr="0075541C">
        <w:rPr>
          <w:sz w:val="22"/>
          <w:szCs w:val="22"/>
        </w:rPr>
        <w:t xml:space="preserve">n rural settings, secure tenure </w:t>
      </w:r>
      <w:r w:rsidR="009D2234" w:rsidRPr="0075541C">
        <w:rPr>
          <w:sz w:val="22"/>
          <w:szCs w:val="22"/>
        </w:rPr>
        <w:t xml:space="preserve">encourages </w:t>
      </w:r>
      <w:r w:rsidR="00E052EE" w:rsidRPr="0075541C">
        <w:rPr>
          <w:sz w:val="22"/>
          <w:szCs w:val="22"/>
        </w:rPr>
        <w:t>investment</w:t>
      </w:r>
      <w:r w:rsidR="001066F7" w:rsidRPr="0075541C">
        <w:rPr>
          <w:sz w:val="22"/>
          <w:szCs w:val="22"/>
        </w:rPr>
        <w:t xml:space="preserve">, serves </w:t>
      </w:r>
      <w:r w:rsidR="00E052EE" w:rsidRPr="0075541C">
        <w:rPr>
          <w:sz w:val="22"/>
          <w:szCs w:val="22"/>
        </w:rPr>
        <w:t>as collateral for credit, and supports income generation through agriculture</w:t>
      </w:r>
      <w:r w:rsidR="009D2234" w:rsidRPr="0075541C">
        <w:rPr>
          <w:sz w:val="22"/>
          <w:szCs w:val="22"/>
        </w:rPr>
        <w:t>. I</w:t>
      </w:r>
      <w:r w:rsidR="00E052EE" w:rsidRPr="0075541C">
        <w:rPr>
          <w:sz w:val="22"/>
          <w:szCs w:val="22"/>
        </w:rPr>
        <w:t xml:space="preserve">n urban </w:t>
      </w:r>
      <w:r w:rsidR="009D2234" w:rsidRPr="0075541C">
        <w:rPr>
          <w:sz w:val="22"/>
          <w:szCs w:val="22"/>
        </w:rPr>
        <w:t>settings</w:t>
      </w:r>
      <w:r w:rsidR="00E052EE" w:rsidRPr="0075541C">
        <w:rPr>
          <w:sz w:val="22"/>
          <w:szCs w:val="22"/>
        </w:rPr>
        <w:t xml:space="preserve">, formal land tenure is </w:t>
      </w:r>
      <w:r w:rsidR="001066F7" w:rsidRPr="0075541C">
        <w:rPr>
          <w:sz w:val="22"/>
          <w:szCs w:val="22"/>
        </w:rPr>
        <w:t xml:space="preserve">vital </w:t>
      </w:r>
      <w:r w:rsidR="00E052EE" w:rsidRPr="0075541C">
        <w:rPr>
          <w:sz w:val="22"/>
          <w:szCs w:val="22"/>
        </w:rPr>
        <w:t>for accessing services, improving living conditions, and fostering economic opportunities.</w:t>
      </w:r>
      <w:r w:rsidR="00176778" w:rsidRPr="0075541C">
        <w:rPr>
          <w:sz w:val="22"/>
          <w:szCs w:val="22"/>
        </w:rPr>
        <w:t xml:space="preserve"> </w:t>
      </w:r>
    </w:p>
    <w:p w14:paraId="6AAD5792" w14:textId="695A8B85" w:rsidR="004D5EB3" w:rsidRPr="0075541C" w:rsidRDefault="00031A49" w:rsidP="00306F21">
      <w:pPr>
        <w:pStyle w:val="NormalWeb"/>
        <w:rPr>
          <w:sz w:val="22"/>
          <w:szCs w:val="22"/>
        </w:rPr>
      </w:pPr>
      <w:r w:rsidRPr="0075541C">
        <w:rPr>
          <w:sz w:val="22"/>
          <w:szCs w:val="22"/>
        </w:rPr>
        <w:t>SDG 1.4.2 also intersects with gender equity</w:t>
      </w:r>
      <w:r w:rsidR="00725FE7" w:rsidRPr="0075541C">
        <w:rPr>
          <w:sz w:val="22"/>
          <w:szCs w:val="22"/>
        </w:rPr>
        <w:t xml:space="preserve">. </w:t>
      </w:r>
      <w:r w:rsidR="00EC3E0E" w:rsidRPr="0075541C">
        <w:rPr>
          <w:sz w:val="22"/>
          <w:szCs w:val="22"/>
        </w:rPr>
        <w:t xml:space="preserve">Secure land tenure </w:t>
      </w:r>
      <w:r w:rsidR="00725FE7" w:rsidRPr="0075541C">
        <w:rPr>
          <w:sz w:val="22"/>
          <w:szCs w:val="22"/>
        </w:rPr>
        <w:t>enhan</w:t>
      </w:r>
      <w:r w:rsidR="00AB628C" w:rsidRPr="0075541C">
        <w:rPr>
          <w:sz w:val="22"/>
          <w:szCs w:val="22"/>
        </w:rPr>
        <w:t>ces women’s economic security, r</w:t>
      </w:r>
      <w:r w:rsidR="00E052EE" w:rsidRPr="0075541C">
        <w:t>educes dependence on male relatives, and improves their bargaining power, contributing to poverty reduction and food security.</w:t>
      </w:r>
      <w:r w:rsidR="005736C8" w:rsidRPr="0075541C">
        <w:rPr>
          <w:sz w:val="22"/>
          <w:szCs w:val="22"/>
        </w:rPr>
        <w:t xml:space="preserve"> </w:t>
      </w:r>
      <w:r w:rsidR="00013676" w:rsidRPr="0075541C">
        <w:rPr>
          <w:sz w:val="22"/>
          <w:szCs w:val="22"/>
        </w:rPr>
        <w:t xml:space="preserve">Monitoring this indicator is crucial to assess progress and inform policies that support inclusive development. </w:t>
      </w:r>
    </w:p>
    <w:p w14:paraId="235F7FDC" w14:textId="77777777" w:rsidR="00013676" w:rsidRPr="0075541C" w:rsidRDefault="00013676" w:rsidP="00013676">
      <w:pPr>
        <w:pStyle w:val="NormalWeb"/>
        <w:rPr>
          <w:b/>
          <w:bCs/>
          <w:color w:val="000000"/>
          <w:sz w:val="22"/>
          <w:szCs w:val="22"/>
        </w:rPr>
      </w:pPr>
      <w:r w:rsidRPr="0075541C">
        <w:rPr>
          <w:b/>
          <w:bCs/>
          <w:color w:val="000000"/>
          <w:sz w:val="22"/>
          <w:szCs w:val="22"/>
        </w:rPr>
        <w:t>Objectives:</w:t>
      </w:r>
    </w:p>
    <w:p w14:paraId="27226541" w14:textId="4DDE655B" w:rsidR="009E53D5" w:rsidRPr="0075541C" w:rsidRDefault="00013676" w:rsidP="00DD3E45">
      <w:pPr>
        <w:ind w:left="720"/>
        <w:rPr>
          <w:rFonts w:ascii="Times New Roman" w:hAnsi="Times New Roman" w:cs="Times New Roman"/>
        </w:rPr>
      </w:pPr>
      <w:r w:rsidRPr="0075541C">
        <w:rPr>
          <w:rFonts w:ascii="Times New Roman" w:hAnsi="Times New Roman" w:cs="Times New Roman"/>
          <w:b/>
          <w:bCs/>
        </w:rPr>
        <w:t>Raising Awareness</w:t>
      </w:r>
      <w:r w:rsidR="00DC4F76" w:rsidRPr="00A13E3E">
        <w:rPr>
          <w:rFonts w:ascii="Times New Roman" w:hAnsi="Times New Roman" w:cs="Times New Roman"/>
        </w:rPr>
        <w:t xml:space="preserve"> on</w:t>
      </w:r>
      <w:r w:rsidRPr="0075541C">
        <w:rPr>
          <w:rFonts w:ascii="Times New Roman" w:hAnsi="Times New Roman" w:cs="Times New Roman"/>
        </w:rPr>
        <w:t xml:space="preserve"> the </w:t>
      </w:r>
      <w:r w:rsidR="00CE6E1A" w:rsidRPr="0075541C">
        <w:rPr>
          <w:rFonts w:ascii="Times New Roman" w:hAnsi="Times New Roman" w:cs="Times New Roman"/>
        </w:rPr>
        <w:t xml:space="preserve">importance </w:t>
      </w:r>
      <w:r w:rsidRPr="0075541C">
        <w:rPr>
          <w:rFonts w:ascii="Times New Roman" w:hAnsi="Times New Roman" w:cs="Times New Roman"/>
        </w:rPr>
        <w:t xml:space="preserve">of </w:t>
      </w:r>
      <w:r w:rsidR="00CE6E1A" w:rsidRPr="0075541C">
        <w:rPr>
          <w:rFonts w:ascii="Times New Roman" w:hAnsi="Times New Roman" w:cs="Times New Roman"/>
        </w:rPr>
        <w:t xml:space="preserve">monitoring land tenure security and reporting on indicator 1.4.2 to achieve </w:t>
      </w:r>
      <w:r w:rsidRPr="0075541C">
        <w:rPr>
          <w:rFonts w:ascii="Times New Roman" w:hAnsi="Times New Roman" w:cs="Times New Roman"/>
        </w:rPr>
        <w:t xml:space="preserve">SDG </w:t>
      </w:r>
      <w:r w:rsidR="00CE6E1A" w:rsidRPr="0075541C">
        <w:rPr>
          <w:rFonts w:ascii="Times New Roman" w:hAnsi="Times New Roman" w:cs="Times New Roman"/>
        </w:rPr>
        <w:t>1</w:t>
      </w:r>
      <w:r w:rsidRPr="0075541C">
        <w:rPr>
          <w:rFonts w:ascii="Times New Roman" w:hAnsi="Times New Roman" w:cs="Times New Roman"/>
        </w:rPr>
        <w:t xml:space="preserve"> within the 2030 Agenda</w:t>
      </w:r>
      <w:r w:rsidR="00CE6E1A" w:rsidRPr="0075541C">
        <w:rPr>
          <w:rFonts w:ascii="Times New Roman" w:hAnsi="Times New Roman" w:cs="Times New Roman"/>
        </w:rPr>
        <w:t>.</w:t>
      </w:r>
    </w:p>
    <w:p w14:paraId="104F1B35" w14:textId="475921D1" w:rsidR="007F00F7" w:rsidRPr="0075541C" w:rsidRDefault="00013676" w:rsidP="00DD3E45">
      <w:pPr>
        <w:ind w:left="720"/>
        <w:rPr>
          <w:rFonts w:ascii="Times New Roman" w:hAnsi="Times New Roman" w:cs="Times New Roman"/>
        </w:rPr>
      </w:pPr>
      <w:r w:rsidRPr="0075541C">
        <w:rPr>
          <w:rFonts w:ascii="Times New Roman" w:hAnsi="Times New Roman" w:cs="Times New Roman"/>
          <w:b/>
          <w:bCs/>
        </w:rPr>
        <w:t>Strengthening Capacities</w:t>
      </w:r>
      <w:r w:rsidRPr="0075541C">
        <w:rPr>
          <w:rFonts w:ascii="Times New Roman" w:hAnsi="Times New Roman" w:cs="Times New Roman"/>
        </w:rPr>
        <w:t xml:space="preserve"> of national institutions to </w:t>
      </w:r>
      <w:r w:rsidR="000F654D" w:rsidRPr="0075541C">
        <w:rPr>
          <w:rFonts w:ascii="Times New Roman" w:hAnsi="Times New Roman" w:cs="Times New Roman"/>
        </w:rPr>
        <w:t xml:space="preserve">understand the methodology, </w:t>
      </w:r>
      <w:r w:rsidRPr="0075541C">
        <w:rPr>
          <w:rFonts w:ascii="Times New Roman" w:hAnsi="Times New Roman" w:cs="Times New Roman"/>
        </w:rPr>
        <w:t xml:space="preserve">collect </w:t>
      </w:r>
      <w:r w:rsidR="007F00F7" w:rsidRPr="0075541C">
        <w:rPr>
          <w:rFonts w:ascii="Times New Roman" w:hAnsi="Times New Roman" w:cs="Times New Roman"/>
        </w:rPr>
        <w:t xml:space="preserve">and report on </w:t>
      </w:r>
      <w:r w:rsidRPr="0075541C">
        <w:rPr>
          <w:rFonts w:ascii="Times New Roman" w:hAnsi="Times New Roman" w:cs="Times New Roman"/>
        </w:rPr>
        <w:t>SDG Indicator 1.4.2</w:t>
      </w:r>
      <w:r w:rsidR="00CE6E1A" w:rsidRPr="0075541C">
        <w:rPr>
          <w:rFonts w:ascii="Times New Roman" w:hAnsi="Times New Roman" w:cs="Times New Roman"/>
        </w:rPr>
        <w:t>.</w:t>
      </w:r>
      <w:r w:rsidR="009E53D5" w:rsidRPr="0075541C">
        <w:rPr>
          <w:rFonts w:ascii="Times New Roman" w:hAnsi="Times New Roman" w:cs="Times New Roman"/>
        </w:rPr>
        <w:t xml:space="preserve"> </w:t>
      </w:r>
      <w:r w:rsidR="00DC4F76" w:rsidRPr="0075541C">
        <w:rPr>
          <w:rFonts w:ascii="Times New Roman" w:hAnsi="Times New Roman" w:cs="Times New Roman"/>
        </w:rPr>
        <w:t xml:space="preserve">and </w:t>
      </w:r>
      <w:r w:rsidR="009E53D5" w:rsidRPr="0075541C">
        <w:rPr>
          <w:rFonts w:ascii="Times New Roman" w:hAnsi="Times New Roman" w:cs="Times New Roman"/>
        </w:rPr>
        <w:t>a</w:t>
      </w:r>
      <w:r w:rsidRPr="0075541C">
        <w:rPr>
          <w:rFonts w:ascii="Times New Roman" w:hAnsi="Times New Roman" w:cs="Times New Roman"/>
        </w:rPr>
        <w:t>ddress</w:t>
      </w:r>
      <w:r w:rsidR="007F00F7" w:rsidRPr="0075541C">
        <w:rPr>
          <w:rFonts w:ascii="Times New Roman" w:hAnsi="Times New Roman" w:cs="Times New Roman"/>
        </w:rPr>
        <w:t xml:space="preserve"> </w:t>
      </w:r>
      <w:r w:rsidR="00DC4F76" w:rsidRPr="0075541C">
        <w:rPr>
          <w:rFonts w:ascii="Times New Roman" w:hAnsi="Times New Roman" w:cs="Times New Roman"/>
        </w:rPr>
        <w:t xml:space="preserve">the </w:t>
      </w:r>
      <w:r w:rsidRPr="0075541C">
        <w:rPr>
          <w:rFonts w:ascii="Times New Roman" w:hAnsi="Times New Roman" w:cs="Times New Roman"/>
        </w:rPr>
        <w:t xml:space="preserve">challenges </w:t>
      </w:r>
      <w:r w:rsidR="007F00F7" w:rsidRPr="0075541C">
        <w:rPr>
          <w:rFonts w:ascii="Times New Roman" w:hAnsi="Times New Roman" w:cs="Times New Roman"/>
        </w:rPr>
        <w:t xml:space="preserve">faced. </w:t>
      </w:r>
    </w:p>
    <w:p w14:paraId="0E5C4277" w14:textId="60BE8E02" w:rsidR="00013676" w:rsidRPr="0075541C" w:rsidRDefault="00013676" w:rsidP="00DD3E45">
      <w:pPr>
        <w:ind w:left="720"/>
        <w:rPr>
          <w:rFonts w:ascii="Times New Roman" w:hAnsi="Times New Roman" w:cs="Times New Roman"/>
        </w:rPr>
      </w:pPr>
      <w:r w:rsidRPr="0075541C">
        <w:rPr>
          <w:rFonts w:ascii="Times New Roman" w:hAnsi="Times New Roman" w:cs="Times New Roman"/>
          <w:b/>
          <w:bCs/>
        </w:rPr>
        <w:t>Facilitating Discussion</w:t>
      </w:r>
      <w:r w:rsidRPr="0075541C">
        <w:rPr>
          <w:rFonts w:ascii="Times New Roman" w:hAnsi="Times New Roman" w:cs="Times New Roman"/>
        </w:rPr>
        <w:t xml:space="preserve"> on the statistical and administrative challenges of monitoring</w:t>
      </w:r>
      <w:r w:rsidR="007F00F7" w:rsidRPr="0075541C">
        <w:rPr>
          <w:rFonts w:ascii="Times New Roman" w:hAnsi="Times New Roman" w:cs="Times New Roman"/>
        </w:rPr>
        <w:t xml:space="preserve"> land</w:t>
      </w:r>
      <w:r w:rsidRPr="0075541C">
        <w:rPr>
          <w:rFonts w:ascii="Times New Roman" w:hAnsi="Times New Roman" w:cs="Times New Roman"/>
        </w:rPr>
        <w:t xml:space="preserve"> tenure</w:t>
      </w:r>
      <w:r w:rsidR="00C567A0" w:rsidRPr="0075541C">
        <w:rPr>
          <w:rFonts w:ascii="Times New Roman" w:hAnsi="Times New Roman" w:cs="Times New Roman"/>
        </w:rPr>
        <w:t xml:space="preserve"> security through the range of information available, from administrative data to </w:t>
      </w:r>
      <w:r w:rsidR="007F00F7" w:rsidRPr="0075541C">
        <w:rPr>
          <w:rFonts w:ascii="Times New Roman" w:hAnsi="Times New Roman" w:cs="Times New Roman"/>
        </w:rPr>
        <w:t>perception</w:t>
      </w:r>
      <w:r w:rsidR="00C567A0" w:rsidRPr="0075541C">
        <w:rPr>
          <w:rFonts w:ascii="Times New Roman" w:hAnsi="Times New Roman" w:cs="Times New Roman"/>
        </w:rPr>
        <w:t xml:space="preserve"> surveys</w:t>
      </w:r>
      <w:r w:rsidRPr="0075541C">
        <w:rPr>
          <w:rFonts w:ascii="Times New Roman" w:hAnsi="Times New Roman" w:cs="Times New Roman"/>
        </w:rPr>
        <w:t>.</w:t>
      </w:r>
    </w:p>
    <w:p w14:paraId="73E908E6" w14:textId="77777777" w:rsidR="00966601" w:rsidRDefault="00966601">
      <w:pPr>
        <w:rPr>
          <w:rFonts w:ascii="Times New Roman" w:eastAsia="Times New Roman" w:hAnsi="Times New Roman" w:cs="Times New Roman"/>
          <w:b/>
          <w:bCs/>
          <w:kern w:val="0"/>
          <w:lang w:val="en-GB" w:eastAsia="en-GB"/>
          <w14:ligatures w14:val="none"/>
        </w:rPr>
      </w:pPr>
      <w:r>
        <w:rPr>
          <w:rFonts w:ascii="Times New Roman" w:eastAsia="Times New Roman" w:hAnsi="Times New Roman" w:cs="Times New Roman"/>
          <w:b/>
          <w:bCs/>
          <w:kern w:val="0"/>
          <w:lang w:val="en-GB" w:eastAsia="en-GB"/>
          <w14:ligatures w14:val="none"/>
        </w:rPr>
        <w:br w:type="page"/>
      </w:r>
    </w:p>
    <w:p w14:paraId="075FE569" w14:textId="07FC44D3" w:rsidR="00B610E1" w:rsidRPr="0075541C" w:rsidRDefault="00B610E1" w:rsidP="00B610E1">
      <w:pPr>
        <w:spacing w:before="100" w:beforeAutospacing="1" w:after="100" w:afterAutospacing="1" w:line="240" w:lineRule="auto"/>
        <w:outlineLvl w:val="2"/>
        <w:rPr>
          <w:rFonts w:ascii="Times New Roman" w:eastAsia="Times New Roman" w:hAnsi="Times New Roman" w:cs="Times New Roman"/>
          <w:b/>
          <w:bCs/>
          <w:kern w:val="0"/>
          <w:lang w:val="en-GB" w:eastAsia="en-GB"/>
          <w14:ligatures w14:val="none"/>
        </w:rPr>
      </w:pPr>
      <w:r w:rsidRPr="0075541C">
        <w:rPr>
          <w:rFonts w:ascii="Times New Roman" w:eastAsia="Times New Roman" w:hAnsi="Times New Roman" w:cs="Times New Roman"/>
          <w:b/>
          <w:bCs/>
          <w:kern w:val="0"/>
          <w:lang w:val="en-GB" w:eastAsia="en-GB"/>
          <w14:ligatures w14:val="none"/>
        </w:rPr>
        <w:lastRenderedPageBreak/>
        <w:t>Issues to be Addressed</w:t>
      </w:r>
    </w:p>
    <w:p w14:paraId="04F09755" w14:textId="5642E6E4" w:rsidR="00B610E1" w:rsidRPr="0075541C" w:rsidRDefault="0019185A" w:rsidP="00A13E3E">
      <w:pPr>
        <w:pStyle w:val="NormalWeb"/>
        <w:rPr>
          <w:lang w:val="en-GB" w:eastAsia="en-GB"/>
        </w:rPr>
      </w:pPr>
      <w:r w:rsidRPr="00A13E3E">
        <w:rPr>
          <w:sz w:val="22"/>
          <w:szCs w:val="22"/>
        </w:rPr>
        <w:t xml:space="preserve">The online workshop aims to foster a deeper understanding of the importance of secure land tenure and the critical role it plays in achieving the SDG 1. By enhancing capacities and facilitating discussions, the event will contribute to more effective monitoring and reporting on SDG 1.4.2, ultimately supporting sustainable development and gender equality in the Arab Region. </w:t>
      </w:r>
      <w:r w:rsidR="00B610E1" w:rsidRPr="00A13E3E">
        <w:rPr>
          <w:sz w:val="22"/>
          <w:szCs w:val="22"/>
          <w:lang w:val="en-GB" w:eastAsia="en-GB"/>
        </w:rPr>
        <w:t xml:space="preserve">The workshop will address critical issues related to monitoring land tenure security in diverse contexts, particularly </w:t>
      </w:r>
      <w:r w:rsidR="00A31B59" w:rsidRPr="00A13E3E">
        <w:rPr>
          <w:sz w:val="22"/>
          <w:szCs w:val="22"/>
          <w:lang w:val="en-GB" w:eastAsia="en-GB"/>
        </w:rPr>
        <w:t>in</w:t>
      </w:r>
      <w:r w:rsidR="00B610E1" w:rsidRPr="00A13E3E">
        <w:rPr>
          <w:sz w:val="22"/>
          <w:szCs w:val="22"/>
          <w:lang w:val="en-GB" w:eastAsia="en-GB"/>
        </w:rPr>
        <w:t xml:space="preserve"> urban environments</w:t>
      </w:r>
      <w:r w:rsidR="00E72A8D" w:rsidRPr="00A13E3E">
        <w:rPr>
          <w:sz w:val="22"/>
          <w:szCs w:val="22"/>
          <w:lang w:val="en-GB" w:eastAsia="en-GB"/>
        </w:rPr>
        <w:t xml:space="preserve"> using administrative records. </w:t>
      </w:r>
      <w:r w:rsidR="00B610E1" w:rsidRPr="00A13E3E">
        <w:rPr>
          <w:sz w:val="22"/>
          <w:szCs w:val="22"/>
          <w:lang w:val="en-GB" w:eastAsia="en-GB"/>
        </w:rPr>
        <w:t xml:space="preserve">It will explore the unique challenges of data collection and the various </w:t>
      </w:r>
      <w:r w:rsidR="00E72A8D" w:rsidRPr="00A13E3E">
        <w:rPr>
          <w:sz w:val="22"/>
          <w:szCs w:val="22"/>
          <w:lang w:val="en-GB" w:eastAsia="en-GB"/>
        </w:rPr>
        <w:t>sources of information</w:t>
      </w:r>
      <w:r w:rsidR="00365F5F" w:rsidRPr="00A13E3E">
        <w:rPr>
          <w:sz w:val="22"/>
          <w:szCs w:val="22"/>
          <w:lang w:val="en-GB" w:eastAsia="en-GB"/>
        </w:rPr>
        <w:t xml:space="preserve">, </w:t>
      </w:r>
      <w:r w:rsidR="00B610E1" w:rsidRPr="00A13E3E">
        <w:rPr>
          <w:sz w:val="22"/>
          <w:szCs w:val="22"/>
          <w:lang w:val="en-GB" w:eastAsia="en-GB"/>
        </w:rPr>
        <w:t>employed to capture the nuances of land tenure in these settings. Participants will discuss the necessity of a comprehensive and inclusive data collection strategy that reflects the divers</w:t>
      </w:r>
      <w:r w:rsidR="00A31B59" w:rsidRPr="00A13E3E">
        <w:rPr>
          <w:sz w:val="22"/>
          <w:szCs w:val="22"/>
          <w:lang w:val="en-GB" w:eastAsia="en-GB"/>
        </w:rPr>
        <w:t xml:space="preserve">ity of </w:t>
      </w:r>
      <w:r w:rsidR="00B610E1" w:rsidRPr="00A13E3E">
        <w:rPr>
          <w:sz w:val="22"/>
          <w:szCs w:val="22"/>
          <w:lang w:val="en-GB" w:eastAsia="en-GB"/>
        </w:rPr>
        <w:t xml:space="preserve">tenure arrangements across </w:t>
      </w:r>
      <w:r w:rsidR="0015573C" w:rsidRPr="00A13E3E">
        <w:rPr>
          <w:sz w:val="22"/>
          <w:szCs w:val="22"/>
          <w:lang w:val="en-GB" w:eastAsia="en-GB"/>
        </w:rPr>
        <w:t xml:space="preserve">Arab </w:t>
      </w:r>
      <w:r w:rsidR="00A31B59" w:rsidRPr="00A13E3E">
        <w:rPr>
          <w:sz w:val="22"/>
          <w:szCs w:val="22"/>
          <w:lang w:val="en-GB" w:eastAsia="en-GB"/>
        </w:rPr>
        <w:t>countries</w:t>
      </w:r>
      <w:r w:rsidR="00675F9F" w:rsidRPr="00A13E3E">
        <w:rPr>
          <w:sz w:val="22"/>
          <w:szCs w:val="22"/>
          <w:lang w:val="en-GB" w:eastAsia="en-GB"/>
        </w:rPr>
        <w:t xml:space="preserve">. </w:t>
      </w:r>
      <w:r w:rsidR="00A31B59" w:rsidRPr="00A13E3E">
        <w:rPr>
          <w:sz w:val="22"/>
          <w:szCs w:val="22"/>
          <w:lang w:val="en-GB" w:eastAsia="en-GB"/>
        </w:rPr>
        <w:t xml:space="preserve">Special attention will be given to the integration of perception data, which is essential for complementing </w:t>
      </w:r>
      <w:r w:rsidR="00C567A0" w:rsidRPr="00A13E3E">
        <w:rPr>
          <w:sz w:val="22"/>
          <w:szCs w:val="22"/>
          <w:lang w:val="en-GB" w:eastAsia="en-GB"/>
        </w:rPr>
        <w:t xml:space="preserve">administrative data and </w:t>
      </w:r>
      <w:r w:rsidR="00A31B59" w:rsidRPr="00A13E3E">
        <w:rPr>
          <w:sz w:val="22"/>
          <w:szCs w:val="22"/>
          <w:lang w:val="en-GB" w:eastAsia="en-GB"/>
        </w:rPr>
        <w:t>legally recognized documentation</w:t>
      </w:r>
      <w:r w:rsidR="00424085" w:rsidRPr="00A13E3E">
        <w:rPr>
          <w:sz w:val="22"/>
          <w:szCs w:val="22"/>
          <w:lang w:val="en-GB" w:eastAsia="en-GB"/>
        </w:rPr>
        <w:t>, ensuring a holistic view of tenure security.</w:t>
      </w:r>
      <w:r w:rsidRPr="00A13E3E">
        <w:rPr>
          <w:sz w:val="22"/>
          <w:szCs w:val="22"/>
          <w:lang w:val="en-GB" w:eastAsia="en-GB"/>
        </w:rPr>
        <w:t xml:space="preserve"> Differences and complementarities in the monitoring of SDG indicator 5.a.2.</w:t>
      </w:r>
    </w:p>
    <w:p w14:paraId="064FF0C6" w14:textId="6E47F46E" w:rsidR="00424085" w:rsidRPr="00A13E3E" w:rsidRDefault="00C567A0" w:rsidP="009E2B40">
      <w:pPr>
        <w:pStyle w:val="NormalWeb"/>
      </w:pPr>
      <w:r w:rsidRPr="009E2B40">
        <w:rPr>
          <w:b/>
          <w:bCs/>
          <w:color w:val="000000"/>
          <w:sz w:val="22"/>
          <w:szCs w:val="22"/>
        </w:rPr>
        <w:t>Participants:</w:t>
      </w:r>
      <w:r w:rsidRPr="009E2B40">
        <w:rPr>
          <w:color w:val="000000"/>
          <w:sz w:val="22"/>
          <w:szCs w:val="22"/>
        </w:rPr>
        <w:t xml:space="preserve"> </w:t>
      </w:r>
      <w:r w:rsidRPr="009E2B40">
        <w:rPr>
          <w:sz w:val="22"/>
          <w:szCs w:val="22"/>
        </w:rPr>
        <w:t>National SDG coordination mechanisms, National Statistical Offices (NSOs), Land authorities, Housing institutions, Ministries of Justice and Planning from Qatar, partners, and other interested stakeholders.</w:t>
      </w:r>
    </w:p>
    <w:p w14:paraId="0109371A" w14:textId="2D6F8412" w:rsidR="00027E31" w:rsidRPr="00A13E3E" w:rsidRDefault="00B769D0" w:rsidP="00DD3E45">
      <w:pPr>
        <w:rPr>
          <w:rFonts w:ascii="Times New Roman" w:hAnsi="Times New Roman" w:cs="Times New Roman"/>
          <w:b/>
          <w:bCs/>
          <w:color w:val="000000"/>
        </w:rPr>
      </w:pPr>
      <w:r w:rsidRPr="00A13E3E">
        <w:rPr>
          <w:rFonts w:ascii="Times New Roman" w:hAnsi="Times New Roman" w:cs="Times New Roman"/>
          <w:b/>
          <w:bCs/>
          <w:color w:val="000000"/>
        </w:rPr>
        <w:t>Agenda</w:t>
      </w:r>
      <w:r w:rsidR="0019185A" w:rsidRPr="00A13E3E">
        <w:rPr>
          <w:rFonts w:ascii="Times New Roman" w:hAnsi="Times New Roman" w:cs="Times New Roman"/>
          <w:b/>
          <w:bCs/>
          <w:color w:val="000000"/>
        </w:rPr>
        <w:t xml:space="preserve"> outline</w:t>
      </w:r>
    </w:p>
    <w:tbl>
      <w:tblPr>
        <w:tblStyle w:val="TableGrid"/>
        <w:tblW w:w="9895" w:type="dxa"/>
        <w:tblLook w:val="04A0" w:firstRow="1" w:lastRow="0" w:firstColumn="1" w:lastColumn="0" w:noHBand="0" w:noVBand="1"/>
      </w:tblPr>
      <w:tblGrid>
        <w:gridCol w:w="2065"/>
        <w:gridCol w:w="4680"/>
        <w:gridCol w:w="3150"/>
      </w:tblGrid>
      <w:tr w:rsidR="009A1214" w:rsidRPr="0075541C" w14:paraId="6F1146A9" w14:textId="77777777" w:rsidTr="00A13E3E">
        <w:tc>
          <w:tcPr>
            <w:tcW w:w="2065" w:type="dxa"/>
            <w:shd w:val="clear" w:color="auto" w:fill="C1E4F5" w:themeFill="accent1" w:themeFillTint="33"/>
          </w:tcPr>
          <w:p w14:paraId="663606FB" w14:textId="4C8EEAF6" w:rsidR="009A1214" w:rsidRPr="00A13E3E" w:rsidRDefault="009A1214" w:rsidP="00AB5907">
            <w:pPr>
              <w:pStyle w:val="NormalWeb"/>
              <w:rPr>
                <w:b/>
                <w:bCs/>
                <w:color w:val="000000"/>
                <w:sz w:val="22"/>
                <w:szCs w:val="22"/>
              </w:rPr>
            </w:pPr>
            <w:r w:rsidRPr="00A13E3E">
              <w:rPr>
                <w:b/>
                <w:bCs/>
                <w:color w:val="000000"/>
                <w:sz w:val="22"/>
                <w:szCs w:val="22"/>
              </w:rPr>
              <w:t>Time (</w:t>
            </w:r>
            <w:r w:rsidR="00005F96" w:rsidRPr="00A13E3E">
              <w:rPr>
                <w:b/>
                <w:bCs/>
                <w:color w:val="000000"/>
                <w:sz w:val="22"/>
                <w:szCs w:val="22"/>
              </w:rPr>
              <w:t>UTC</w:t>
            </w:r>
            <w:r w:rsidR="00DD1D12" w:rsidRPr="00A13E3E">
              <w:rPr>
                <w:b/>
                <w:bCs/>
                <w:color w:val="000000"/>
                <w:sz w:val="22"/>
                <w:szCs w:val="22"/>
              </w:rPr>
              <w:t>+3</w:t>
            </w:r>
            <w:r w:rsidRPr="00A13E3E">
              <w:rPr>
                <w:b/>
                <w:bCs/>
                <w:color w:val="000000"/>
                <w:sz w:val="22"/>
                <w:szCs w:val="22"/>
              </w:rPr>
              <w:t xml:space="preserve">) </w:t>
            </w:r>
          </w:p>
        </w:tc>
        <w:tc>
          <w:tcPr>
            <w:tcW w:w="4680" w:type="dxa"/>
            <w:shd w:val="clear" w:color="auto" w:fill="C1E4F5" w:themeFill="accent1" w:themeFillTint="33"/>
          </w:tcPr>
          <w:p w14:paraId="41B6C47E" w14:textId="2A2A7B22" w:rsidR="009A1214" w:rsidRPr="00A13E3E" w:rsidRDefault="004C2E2B" w:rsidP="005E6603">
            <w:pPr>
              <w:pStyle w:val="NormalWeb"/>
              <w:rPr>
                <w:b/>
                <w:bCs/>
                <w:color w:val="000000"/>
                <w:sz w:val="22"/>
                <w:szCs w:val="22"/>
              </w:rPr>
            </w:pPr>
            <w:r w:rsidRPr="0075541C">
              <w:rPr>
                <w:b/>
                <w:bCs/>
                <w:color w:val="000000"/>
                <w:sz w:val="22"/>
                <w:szCs w:val="22"/>
              </w:rPr>
              <w:t>Agenda item</w:t>
            </w:r>
          </w:p>
        </w:tc>
        <w:tc>
          <w:tcPr>
            <w:tcW w:w="3150" w:type="dxa"/>
            <w:shd w:val="clear" w:color="auto" w:fill="C1E4F5" w:themeFill="accent1" w:themeFillTint="33"/>
          </w:tcPr>
          <w:p w14:paraId="1B9CF28A" w14:textId="3AC2A3F7" w:rsidR="009A1214" w:rsidRPr="00A13E3E" w:rsidRDefault="004C2E2B" w:rsidP="005E6603">
            <w:pPr>
              <w:pStyle w:val="NormalWeb"/>
              <w:rPr>
                <w:b/>
                <w:bCs/>
                <w:color w:val="000000"/>
                <w:sz w:val="22"/>
                <w:szCs w:val="22"/>
              </w:rPr>
            </w:pPr>
            <w:r w:rsidRPr="0075541C">
              <w:rPr>
                <w:b/>
                <w:bCs/>
                <w:color w:val="000000"/>
                <w:sz w:val="22"/>
                <w:szCs w:val="22"/>
              </w:rPr>
              <w:t>Note</w:t>
            </w:r>
          </w:p>
        </w:tc>
      </w:tr>
      <w:tr w:rsidR="009A1214" w:rsidRPr="0075541C" w14:paraId="6EE746B3" w14:textId="77777777" w:rsidTr="00A13E3E">
        <w:tc>
          <w:tcPr>
            <w:tcW w:w="2065" w:type="dxa"/>
          </w:tcPr>
          <w:p w14:paraId="04D0B9E2" w14:textId="2B534110" w:rsidR="009A1214" w:rsidRPr="0075541C" w:rsidRDefault="00D646B6" w:rsidP="005E6603">
            <w:pPr>
              <w:pStyle w:val="NormalWeb"/>
              <w:rPr>
                <w:color w:val="000000"/>
                <w:sz w:val="22"/>
                <w:szCs w:val="22"/>
              </w:rPr>
            </w:pPr>
            <w:r w:rsidRPr="0075541C">
              <w:rPr>
                <w:color w:val="000000"/>
                <w:sz w:val="22"/>
                <w:szCs w:val="22"/>
              </w:rPr>
              <w:t>11:00</w:t>
            </w:r>
          </w:p>
        </w:tc>
        <w:tc>
          <w:tcPr>
            <w:tcW w:w="4680" w:type="dxa"/>
          </w:tcPr>
          <w:p w14:paraId="5677C993" w14:textId="20415BBF" w:rsidR="009A1214" w:rsidRPr="0075541C" w:rsidRDefault="009A1214" w:rsidP="005E6603">
            <w:pPr>
              <w:pStyle w:val="NormalWeb"/>
              <w:rPr>
                <w:color w:val="000000"/>
                <w:sz w:val="22"/>
                <w:szCs w:val="22"/>
              </w:rPr>
            </w:pPr>
            <w:r w:rsidRPr="0075541C">
              <w:rPr>
                <w:color w:val="000000"/>
                <w:sz w:val="22"/>
                <w:szCs w:val="22"/>
              </w:rPr>
              <w:t>Opening remarks</w:t>
            </w:r>
            <w:r w:rsidR="00831F83" w:rsidRPr="0075541C">
              <w:rPr>
                <w:color w:val="000000"/>
                <w:sz w:val="22"/>
                <w:szCs w:val="22"/>
              </w:rPr>
              <w:t xml:space="preserve"> and objectives of the capacity development workshop</w:t>
            </w:r>
            <w:r w:rsidRPr="0075541C">
              <w:rPr>
                <w:color w:val="000000"/>
                <w:sz w:val="22"/>
                <w:szCs w:val="22"/>
              </w:rPr>
              <w:t xml:space="preserve"> </w:t>
            </w:r>
          </w:p>
        </w:tc>
        <w:tc>
          <w:tcPr>
            <w:tcW w:w="3150" w:type="dxa"/>
          </w:tcPr>
          <w:p w14:paraId="42F61624" w14:textId="7F5EFE63" w:rsidR="009A1214" w:rsidRPr="00A13E3E" w:rsidRDefault="00D646B6" w:rsidP="005E6603">
            <w:pPr>
              <w:pStyle w:val="NormalWeb"/>
              <w:rPr>
                <w:color w:val="000000"/>
                <w:sz w:val="22"/>
                <w:szCs w:val="22"/>
                <w:lang w:val="fr-FR"/>
              </w:rPr>
            </w:pPr>
            <w:r w:rsidRPr="00A13E3E">
              <w:rPr>
                <w:color w:val="000000"/>
                <w:sz w:val="22"/>
                <w:szCs w:val="22"/>
                <w:lang w:val="fr-FR"/>
              </w:rPr>
              <w:t>UN-ESCWA</w:t>
            </w:r>
            <w:r w:rsidR="00A53332" w:rsidRPr="00A13E3E">
              <w:rPr>
                <w:color w:val="000000"/>
                <w:sz w:val="22"/>
                <w:szCs w:val="22"/>
                <w:lang w:val="fr-FR"/>
              </w:rPr>
              <w:t xml:space="preserve"> (5 min)</w:t>
            </w:r>
          </w:p>
          <w:p w14:paraId="4C7CE844" w14:textId="246374A0" w:rsidR="00D646B6" w:rsidRPr="00A13E3E" w:rsidRDefault="00D646B6" w:rsidP="004F331D">
            <w:pPr>
              <w:pStyle w:val="NormalWeb"/>
              <w:rPr>
                <w:color w:val="000000"/>
                <w:sz w:val="22"/>
                <w:szCs w:val="22"/>
                <w:lang w:val="fr-FR"/>
              </w:rPr>
            </w:pPr>
            <w:r w:rsidRPr="00A13E3E">
              <w:rPr>
                <w:color w:val="000000"/>
                <w:sz w:val="22"/>
                <w:szCs w:val="22"/>
                <w:lang w:val="fr-FR"/>
              </w:rPr>
              <w:t>UN-Habitat</w:t>
            </w:r>
            <w:r w:rsidR="00A53332" w:rsidRPr="00A13E3E">
              <w:rPr>
                <w:color w:val="000000"/>
                <w:sz w:val="22"/>
                <w:szCs w:val="22"/>
                <w:lang w:val="fr-FR"/>
              </w:rPr>
              <w:t xml:space="preserve"> (5 min)</w:t>
            </w:r>
          </w:p>
        </w:tc>
      </w:tr>
      <w:tr w:rsidR="009A1214" w:rsidRPr="0075541C" w14:paraId="44FFB307" w14:textId="77777777" w:rsidTr="00F12809">
        <w:trPr>
          <w:trHeight w:val="1970"/>
        </w:trPr>
        <w:tc>
          <w:tcPr>
            <w:tcW w:w="2065" w:type="dxa"/>
          </w:tcPr>
          <w:p w14:paraId="3990449A" w14:textId="18E9B2C3" w:rsidR="00DC2435" w:rsidRPr="0075541C" w:rsidRDefault="00A53332" w:rsidP="005E6603">
            <w:pPr>
              <w:pStyle w:val="NormalWeb"/>
              <w:rPr>
                <w:color w:val="000000"/>
                <w:sz w:val="22"/>
                <w:szCs w:val="22"/>
              </w:rPr>
            </w:pPr>
            <w:r w:rsidRPr="0075541C">
              <w:rPr>
                <w:color w:val="000000"/>
                <w:sz w:val="22"/>
                <w:szCs w:val="22"/>
              </w:rPr>
              <w:t>11:</w:t>
            </w:r>
            <w:r w:rsidR="00CD265F">
              <w:rPr>
                <w:color w:val="000000"/>
                <w:sz w:val="22"/>
                <w:szCs w:val="22"/>
              </w:rPr>
              <w:t>1</w:t>
            </w:r>
            <w:r w:rsidR="004F331D" w:rsidRPr="0075541C">
              <w:rPr>
                <w:color w:val="000000"/>
                <w:sz w:val="22"/>
                <w:szCs w:val="22"/>
              </w:rPr>
              <w:t>0</w:t>
            </w:r>
          </w:p>
        </w:tc>
        <w:tc>
          <w:tcPr>
            <w:tcW w:w="4680" w:type="dxa"/>
          </w:tcPr>
          <w:p w14:paraId="6F84914B" w14:textId="587BAF31" w:rsidR="00BA0DD7" w:rsidRDefault="00BA0DD7" w:rsidP="005E6603">
            <w:pPr>
              <w:pStyle w:val="NormalWeb"/>
              <w:rPr>
                <w:b/>
                <w:bCs/>
                <w:color w:val="000000"/>
                <w:sz w:val="22"/>
                <w:szCs w:val="22"/>
              </w:rPr>
            </w:pPr>
            <w:r w:rsidRPr="0075541C">
              <w:rPr>
                <w:b/>
                <w:bCs/>
                <w:color w:val="000000"/>
                <w:sz w:val="22"/>
                <w:szCs w:val="22"/>
              </w:rPr>
              <w:t xml:space="preserve">Context setting </w:t>
            </w:r>
          </w:p>
          <w:p w14:paraId="6EA4A049" w14:textId="13B46C55" w:rsidR="00FC09E2" w:rsidRPr="0075541C" w:rsidRDefault="00CD265F" w:rsidP="00F12809">
            <w:pPr>
              <w:pStyle w:val="NormalWeb"/>
              <w:rPr>
                <w:color w:val="000000"/>
                <w:sz w:val="22"/>
                <w:szCs w:val="22"/>
              </w:rPr>
            </w:pPr>
            <w:r w:rsidRPr="0075541C">
              <w:rPr>
                <w:color w:val="000000"/>
                <w:sz w:val="22"/>
                <w:szCs w:val="22"/>
              </w:rPr>
              <w:t>Presentation of the Arab Land Initiative and objectives of the capacity development workshop</w:t>
            </w:r>
            <w:r w:rsidR="00F12809">
              <w:rPr>
                <w:color w:val="000000"/>
                <w:sz w:val="22"/>
                <w:szCs w:val="22"/>
              </w:rPr>
              <w:t xml:space="preserve">: </w:t>
            </w:r>
            <w:r w:rsidR="0019410B">
              <w:rPr>
                <w:color w:val="000000"/>
                <w:sz w:val="22"/>
                <w:szCs w:val="22"/>
              </w:rPr>
              <w:t>S</w:t>
            </w:r>
            <w:r w:rsidR="009A1214" w:rsidRPr="0075541C">
              <w:rPr>
                <w:color w:val="000000"/>
                <w:sz w:val="22"/>
                <w:szCs w:val="22"/>
              </w:rPr>
              <w:t xml:space="preserve">ecurity of </w:t>
            </w:r>
            <w:r w:rsidR="00484EF7" w:rsidRPr="0075541C">
              <w:rPr>
                <w:color w:val="000000"/>
                <w:sz w:val="22"/>
                <w:szCs w:val="22"/>
              </w:rPr>
              <w:t>t</w:t>
            </w:r>
            <w:r w:rsidR="009A1214" w:rsidRPr="0075541C">
              <w:rPr>
                <w:color w:val="000000"/>
                <w:sz w:val="22"/>
                <w:szCs w:val="22"/>
              </w:rPr>
              <w:t xml:space="preserve">enure as means for </w:t>
            </w:r>
            <w:r w:rsidR="00A53332" w:rsidRPr="0075541C">
              <w:rPr>
                <w:color w:val="000000"/>
                <w:sz w:val="22"/>
                <w:szCs w:val="22"/>
              </w:rPr>
              <w:t xml:space="preserve">poverty reduction and </w:t>
            </w:r>
            <w:r w:rsidR="0019410B">
              <w:rPr>
                <w:color w:val="000000"/>
                <w:sz w:val="22"/>
                <w:szCs w:val="22"/>
              </w:rPr>
              <w:t xml:space="preserve">Women’s </w:t>
            </w:r>
            <w:r w:rsidR="00A53332" w:rsidRPr="0075541C">
              <w:rPr>
                <w:color w:val="000000"/>
                <w:sz w:val="22"/>
                <w:szCs w:val="22"/>
              </w:rPr>
              <w:t>socio</w:t>
            </w:r>
            <w:r w:rsidR="00484EF7" w:rsidRPr="0075541C">
              <w:rPr>
                <w:color w:val="000000"/>
                <w:sz w:val="22"/>
                <w:szCs w:val="22"/>
              </w:rPr>
              <w:t>e</w:t>
            </w:r>
            <w:r w:rsidR="009A1214" w:rsidRPr="0075541C">
              <w:rPr>
                <w:color w:val="000000"/>
                <w:sz w:val="22"/>
                <w:szCs w:val="22"/>
              </w:rPr>
              <w:t>conomic empowerment – Rationale behind the SDG 1.4.2 indicator</w:t>
            </w:r>
            <w:r w:rsidR="00EE0D07" w:rsidRPr="0075541C">
              <w:rPr>
                <w:color w:val="000000"/>
                <w:sz w:val="22"/>
                <w:szCs w:val="22"/>
              </w:rPr>
              <w:t>.</w:t>
            </w:r>
            <w:r w:rsidR="00E51D74" w:rsidRPr="0075541C">
              <w:rPr>
                <w:color w:val="000000"/>
                <w:sz w:val="22"/>
                <w:szCs w:val="22"/>
              </w:rPr>
              <w:t xml:space="preserve"> </w:t>
            </w:r>
          </w:p>
        </w:tc>
        <w:tc>
          <w:tcPr>
            <w:tcW w:w="3150" w:type="dxa"/>
          </w:tcPr>
          <w:p w14:paraId="0D4F9996" w14:textId="043BAA40" w:rsidR="00A512F6" w:rsidRPr="0075541C" w:rsidRDefault="00A512F6" w:rsidP="00A13E3E">
            <w:pPr>
              <w:pStyle w:val="NormalWeb"/>
              <w:rPr>
                <w:color w:val="000000"/>
                <w:sz w:val="22"/>
                <w:szCs w:val="22"/>
              </w:rPr>
            </w:pPr>
            <w:r w:rsidRPr="0075541C">
              <w:rPr>
                <w:color w:val="000000"/>
                <w:sz w:val="22"/>
                <w:szCs w:val="22"/>
              </w:rPr>
              <w:t>Presented by</w:t>
            </w:r>
            <w:r w:rsidR="00F37311">
              <w:rPr>
                <w:color w:val="000000"/>
                <w:sz w:val="22"/>
                <w:szCs w:val="22"/>
              </w:rPr>
              <w:t xml:space="preserve"> </w:t>
            </w:r>
            <w:r w:rsidR="00F37311" w:rsidRPr="0075541C">
              <w:rPr>
                <w:color w:val="000000"/>
                <w:sz w:val="22"/>
                <w:szCs w:val="22"/>
              </w:rPr>
              <w:t>Ombretta Tempra, UN-Habitat / GLTN</w:t>
            </w:r>
          </w:p>
          <w:p w14:paraId="3CA5F047" w14:textId="75C4F576" w:rsidR="009A1214" w:rsidRPr="0075541C" w:rsidRDefault="009A1214" w:rsidP="00A13E3E">
            <w:pPr>
              <w:pStyle w:val="NormalWeb"/>
              <w:ind w:left="720"/>
              <w:rPr>
                <w:color w:val="000000"/>
                <w:sz w:val="22"/>
                <w:szCs w:val="22"/>
              </w:rPr>
            </w:pPr>
          </w:p>
        </w:tc>
      </w:tr>
      <w:tr w:rsidR="008A49B1" w:rsidRPr="00E41423" w14:paraId="11B3E180" w14:textId="77777777" w:rsidTr="00F12809">
        <w:trPr>
          <w:trHeight w:val="440"/>
        </w:trPr>
        <w:tc>
          <w:tcPr>
            <w:tcW w:w="2065" w:type="dxa"/>
          </w:tcPr>
          <w:p w14:paraId="1DD6003C" w14:textId="3052C3FA" w:rsidR="008A49B1" w:rsidRPr="00F12809" w:rsidRDefault="00A512F6" w:rsidP="005E6603">
            <w:pPr>
              <w:pStyle w:val="NormalWeb"/>
              <w:rPr>
                <w:rFonts w:asciiTheme="majorBidi" w:hAnsiTheme="majorBidi" w:cstheme="majorBidi"/>
                <w:color w:val="000000"/>
                <w:sz w:val="22"/>
                <w:szCs w:val="22"/>
              </w:rPr>
            </w:pPr>
            <w:r w:rsidRPr="00F12809">
              <w:rPr>
                <w:rFonts w:asciiTheme="majorBidi" w:hAnsiTheme="majorBidi" w:cstheme="majorBidi"/>
                <w:color w:val="000000"/>
                <w:sz w:val="22"/>
                <w:szCs w:val="22"/>
              </w:rPr>
              <w:t>11:</w:t>
            </w:r>
            <w:r w:rsidR="004F331D" w:rsidRPr="00F12809">
              <w:rPr>
                <w:rFonts w:asciiTheme="majorBidi" w:hAnsiTheme="majorBidi" w:cstheme="majorBidi"/>
                <w:color w:val="000000"/>
                <w:sz w:val="22"/>
                <w:szCs w:val="22"/>
              </w:rPr>
              <w:t>3</w:t>
            </w:r>
            <w:r w:rsidR="0019410B" w:rsidRPr="00F12809">
              <w:rPr>
                <w:rFonts w:asciiTheme="majorBidi" w:hAnsiTheme="majorBidi" w:cstheme="majorBidi"/>
                <w:color w:val="000000"/>
                <w:sz w:val="22"/>
                <w:szCs w:val="22"/>
              </w:rPr>
              <w:t>0</w:t>
            </w:r>
            <w:r w:rsidRPr="00F12809">
              <w:rPr>
                <w:rFonts w:asciiTheme="majorBidi" w:hAnsiTheme="majorBidi" w:cstheme="majorBidi"/>
                <w:color w:val="000000"/>
                <w:sz w:val="22"/>
                <w:szCs w:val="22"/>
              </w:rPr>
              <w:t xml:space="preserve"> </w:t>
            </w:r>
            <w:r w:rsidR="00DC2435" w:rsidRPr="00F12809">
              <w:rPr>
                <w:rFonts w:asciiTheme="majorBidi" w:hAnsiTheme="majorBidi" w:cstheme="majorBidi"/>
                <w:color w:val="000000"/>
                <w:sz w:val="22"/>
                <w:szCs w:val="22"/>
              </w:rPr>
              <w:t>min</w:t>
            </w:r>
          </w:p>
        </w:tc>
        <w:tc>
          <w:tcPr>
            <w:tcW w:w="4680" w:type="dxa"/>
          </w:tcPr>
          <w:p w14:paraId="76C9CAEC" w14:textId="012A6EF5" w:rsidR="008A49B1" w:rsidRPr="00F12809" w:rsidRDefault="00A512F6" w:rsidP="008A49B1">
            <w:pPr>
              <w:pStyle w:val="NormalWeb"/>
              <w:rPr>
                <w:rFonts w:asciiTheme="majorBidi" w:hAnsiTheme="majorBidi" w:cstheme="majorBidi"/>
                <w:color w:val="000000"/>
                <w:sz w:val="22"/>
                <w:szCs w:val="22"/>
              </w:rPr>
            </w:pPr>
            <w:r w:rsidRPr="00F12809">
              <w:rPr>
                <w:rFonts w:asciiTheme="majorBidi" w:hAnsiTheme="majorBidi" w:cstheme="majorBidi"/>
                <w:color w:val="000000"/>
                <w:sz w:val="22"/>
                <w:szCs w:val="22"/>
              </w:rPr>
              <w:t xml:space="preserve">The methodology to collect information on indicator </w:t>
            </w:r>
            <w:r w:rsidR="008A49B1" w:rsidRPr="00F12809">
              <w:rPr>
                <w:rFonts w:asciiTheme="majorBidi" w:hAnsiTheme="majorBidi" w:cstheme="majorBidi"/>
                <w:color w:val="000000"/>
                <w:sz w:val="22"/>
                <w:szCs w:val="22"/>
              </w:rPr>
              <w:t xml:space="preserve">SDG 1.4.2 </w:t>
            </w:r>
          </w:p>
          <w:p w14:paraId="367ABAD8" w14:textId="77777777" w:rsidR="008A49B1" w:rsidRPr="00F12809" w:rsidRDefault="008A49B1" w:rsidP="00226120">
            <w:pPr>
              <w:pStyle w:val="NormalWeb"/>
              <w:numPr>
                <w:ilvl w:val="0"/>
                <w:numId w:val="6"/>
              </w:numPr>
              <w:rPr>
                <w:rFonts w:asciiTheme="majorBidi" w:hAnsiTheme="majorBidi" w:cstheme="majorBidi"/>
                <w:color w:val="000000"/>
                <w:sz w:val="22"/>
                <w:szCs w:val="22"/>
              </w:rPr>
            </w:pPr>
            <w:r w:rsidRPr="00F12809">
              <w:rPr>
                <w:rFonts w:asciiTheme="majorBidi" w:hAnsiTheme="majorBidi" w:cstheme="majorBidi"/>
                <w:color w:val="000000"/>
                <w:sz w:val="22"/>
                <w:szCs w:val="22"/>
              </w:rPr>
              <w:t xml:space="preserve">Monitoring SDG 1.4.2. data collection process, reporting methodology. </w:t>
            </w:r>
          </w:p>
          <w:p w14:paraId="6CAC27FF" w14:textId="77777777" w:rsidR="008A49B1" w:rsidRPr="00F12809" w:rsidRDefault="008A49B1" w:rsidP="00226120">
            <w:pPr>
              <w:pStyle w:val="NormalWeb"/>
              <w:numPr>
                <w:ilvl w:val="0"/>
                <w:numId w:val="6"/>
              </w:numPr>
              <w:rPr>
                <w:rFonts w:asciiTheme="majorBidi" w:hAnsiTheme="majorBidi" w:cstheme="majorBidi"/>
                <w:color w:val="000000"/>
                <w:sz w:val="22"/>
                <w:szCs w:val="22"/>
              </w:rPr>
            </w:pPr>
            <w:r w:rsidRPr="00F12809">
              <w:rPr>
                <w:rFonts w:asciiTheme="majorBidi" w:hAnsiTheme="majorBidi" w:cstheme="majorBidi"/>
                <w:color w:val="000000"/>
                <w:sz w:val="22"/>
                <w:szCs w:val="22"/>
              </w:rPr>
              <w:t>Different approaches using statistical vs administrative data sources.</w:t>
            </w:r>
          </w:p>
          <w:p w14:paraId="6AF10188" w14:textId="77777777" w:rsidR="00F95567" w:rsidRPr="00F12809" w:rsidRDefault="00F95567" w:rsidP="00226120">
            <w:pPr>
              <w:pStyle w:val="NormalWeb"/>
              <w:numPr>
                <w:ilvl w:val="0"/>
                <w:numId w:val="6"/>
              </w:numPr>
              <w:rPr>
                <w:rFonts w:asciiTheme="majorBidi" w:hAnsiTheme="majorBidi" w:cstheme="majorBidi"/>
                <w:color w:val="000000"/>
                <w:sz w:val="22"/>
                <w:szCs w:val="22"/>
              </w:rPr>
            </w:pPr>
            <w:r w:rsidRPr="00F12809">
              <w:rPr>
                <w:rFonts w:asciiTheme="majorBidi" w:hAnsiTheme="majorBidi" w:cstheme="majorBidi"/>
                <w:color w:val="000000"/>
                <w:sz w:val="22"/>
                <w:szCs w:val="22"/>
              </w:rPr>
              <w:t>Complementarity between SDGs 1.4.2, 5.a.1 and 5.a.2</w:t>
            </w:r>
          </w:p>
          <w:p w14:paraId="6FD0FE14" w14:textId="5D846C18" w:rsidR="00533E3E" w:rsidRPr="00F12809" w:rsidRDefault="00533E3E" w:rsidP="00226120">
            <w:pPr>
              <w:pStyle w:val="NormalWeb"/>
              <w:numPr>
                <w:ilvl w:val="0"/>
                <w:numId w:val="6"/>
              </w:numPr>
              <w:rPr>
                <w:rFonts w:asciiTheme="majorBidi" w:hAnsiTheme="majorBidi" w:cstheme="majorBidi"/>
                <w:color w:val="000000"/>
                <w:sz w:val="22"/>
                <w:szCs w:val="22"/>
              </w:rPr>
            </w:pPr>
            <w:r w:rsidRPr="00F12809">
              <w:rPr>
                <w:rFonts w:asciiTheme="majorBidi" w:hAnsiTheme="majorBidi" w:cstheme="majorBidi"/>
                <w:color w:val="000000"/>
                <w:sz w:val="22"/>
                <w:szCs w:val="22"/>
              </w:rPr>
              <w:t xml:space="preserve">Steps required for </w:t>
            </w:r>
            <w:r w:rsidR="00226120" w:rsidRPr="00F12809">
              <w:rPr>
                <w:rFonts w:asciiTheme="majorBidi" w:hAnsiTheme="majorBidi" w:cstheme="majorBidi"/>
                <w:color w:val="000000"/>
                <w:sz w:val="22"/>
                <w:szCs w:val="22"/>
              </w:rPr>
              <w:t xml:space="preserve">monitoring 1.4.2: </w:t>
            </w:r>
          </w:p>
          <w:p w14:paraId="21EDFE1D" w14:textId="77777777" w:rsidR="00226120" w:rsidRPr="00F12809" w:rsidRDefault="00226120" w:rsidP="00A13E3E">
            <w:pPr>
              <w:pStyle w:val="pf0"/>
              <w:numPr>
                <w:ilvl w:val="1"/>
                <w:numId w:val="6"/>
              </w:numPr>
              <w:ind w:left="973" w:hanging="630"/>
              <w:rPr>
                <w:rFonts w:asciiTheme="majorBidi" w:hAnsiTheme="majorBidi" w:cstheme="majorBidi"/>
                <w:sz w:val="22"/>
                <w:szCs w:val="22"/>
              </w:rPr>
            </w:pPr>
            <w:r w:rsidRPr="00F12809">
              <w:rPr>
                <w:rStyle w:val="cf01"/>
                <w:rFonts w:asciiTheme="majorBidi" w:eastAsiaTheme="majorEastAsia" w:hAnsiTheme="majorBidi" w:cstheme="majorBidi"/>
                <w:sz w:val="22"/>
                <w:szCs w:val="22"/>
              </w:rPr>
              <w:t xml:space="preserve">Identification of potential sources of land tenure information </w:t>
            </w:r>
          </w:p>
          <w:p w14:paraId="423A53BC" w14:textId="77777777" w:rsidR="00226120" w:rsidRPr="00F12809" w:rsidRDefault="00226120" w:rsidP="00A13E3E">
            <w:pPr>
              <w:pStyle w:val="pf0"/>
              <w:numPr>
                <w:ilvl w:val="1"/>
                <w:numId w:val="6"/>
              </w:numPr>
              <w:ind w:left="973" w:hanging="630"/>
              <w:rPr>
                <w:rFonts w:asciiTheme="majorBidi" w:hAnsiTheme="majorBidi" w:cstheme="majorBidi"/>
                <w:sz w:val="22"/>
                <w:szCs w:val="22"/>
              </w:rPr>
            </w:pPr>
            <w:r w:rsidRPr="00F12809">
              <w:rPr>
                <w:rStyle w:val="cf01"/>
                <w:rFonts w:asciiTheme="majorBidi" w:eastAsiaTheme="majorEastAsia" w:hAnsiTheme="majorBidi" w:cstheme="majorBidi"/>
                <w:sz w:val="22"/>
                <w:szCs w:val="22"/>
              </w:rPr>
              <w:t>Inventory of land tenure documentation</w:t>
            </w:r>
          </w:p>
          <w:p w14:paraId="52AB2BC9" w14:textId="77777777" w:rsidR="00226120" w:rsidRPr="00F12809" w:rsidRDefault="00226120" w:rsidP="00A13E3E">
            <w:pPr>
              <w:pStyle w:val="pf0"/>
              <w:numPr>
                <w:ilvl w:val="1"/>
                <w:numId w:val="6"/>
              </w:numPr>
              <w:ind w:left="973" w:hanging="630"/>
              <w:rPr>
                <w:rFonts w:asciiTheme="majorBidi" w:hAnsiTheme="majorBidi" w:cstheme="majorBidi"/>
                <w:sz w:val="22"/>
                <w:szCs w:val="22"/>
              </w:rPr>
            </w:pPr>
            <w:r w:rsidRPr="00F12809">
              <w:rPr>
                <w:rStyle w:val="cf01"/>
                <w:rFonts w:asciiTheme="majorBidi" w:eastAsiaTheme="majorEastAsia" w:hAnsiTheme="majorBidi" w:cstheme="majorBidi"/>
                <w:sz w:val="22"/>
                <w:szCs w:val="22"/>
              </w:rPr>
              <w:t>Identification of different land tenure modalities within the continuum of land rights approach</w:t>
            </w:r>
          </w:p>
          <w:p w14:paraId="35D3BA6A" w14:textId="6C76DE82" w:rsidR="00E51D74" w:rsidRPr="00F12809" w:rsidRDefault="00E51D74" w:rsidP="00226120">
            <w:pPr>
              <w:pStyle w:val="NormalWeb"/>
              <w:numPr>
                <w:ilvl w:val="0"/>
                <w:numId w:val="6"/>
              </w:numPr>
              <w:rPr>
                <w:rFonts w:asciiTheme="majorBidi" w:hAnsiTheme="majorBidi" w:cstheme="majorBidi"/>
                <w:color w:val="000000"/>
                <w:sz w:val="22"/>
                <w:szCs w:val="22"/>
              </w:rPr>
            </w:pPr>
            <w:r w:rsidRPr="00F12809">
              <w:rPr>
                <w:rFonts w:asciiTheme="majorBidi" w:hAnsiTheme="majorBidi" w:cstheme="majorBidi"/>
                <w:color w:val="000000"/>
                <w:sz w:val="22"/>
                <w:szCs w:val="22"/>
              </w:rPr>
              <w:lastRenderedPageBreak/>
              <w:t>Monitoring perception of tenure security</w:t>
            </w:r>
          </w:p>
        </w:tc>
        <w:tc>
          <w:tcPr>
            <w:tcW w:w="3150" w:type="dxa"/>
          </w:tcPr>
          <w:p w14:paraId="1B8FB808" w14:textId="1934261B" w:rsidR="009C1504" w:rsidRPr="00F12809" w:rsidRDefault="004F331D" w:rsidP="005E6603">
            <w:pPr>
              <w:pStyle w:val="NormalWeb"/>
              <w:rPr>
                <w:rFonts w:asciiTheme="majorBidi" w:hAnsiTheme="majorBidi" w:cstheme="majorBidi"/>
                <w:color w:val="000000"/>
                <w:sz w:val="22"/>
                <w:szCs w:val="22"/>
              </w:rPr>
            </w:pPr>
            <w:r w:rsidRPr="00F12809">
              <w:rPr>
                <w:rFonts w:asciiTheme="majorBidi" w:hAnsiTheme="majorBidi" w:cstheme="majorBidi"/>
                <w:color w:val="000000"/>
                <w:sz w:val="22"/>
                <w:szCs w:val="22"/>
              </w:rPr>
              <w:lastRenderedPageBreak/>
              <w:t>15 min presentation</w:t>
            </w:r>
            <w:r w:rsidR="009C1504" w:rsidRPr="00F12809">
              <w:rPr>
                <w:rFonts w:asciiTheme="majorBidi" w:hAnsiTheme="majorBidi" w:cstheme="majorBidi"/>
                <w:color w:val="000000"/>
                <w:sz w:val="22"/>
                <w:szCs w:val="22"/>
              </w:rPr>
              <w:t xml:space="preserve">, followed by </w:t>
            </w:r>
            <w:r w:rsidRPr="00F12809">
              <w:rPr>
                <w:rFonts w:asciiTheme="majorBidi" w:hAnsiTheme="majorBidi" w:cstheme="majorBidi"/>
                <w:color w:val="000000"/>
                <w:sz w:val="22"/>
                <w:szCs w:val="22"/>
              </w:rPr>
              <w:t>15</w:t>
            </w:r>
            <w:r w:rsidR="009C1504" w:rsidRPr="00F12809">
              <w:rPr>
                <w:rFonts w:asciiTheme="majorBidi" w:hAnsiTheme="majorBidi" w:cstheme="majorBidi"/>
                <w:color w:val="000000"/>
                <w:sz w:val="22"/>
                <w:szCs w:val="22"/>
              </w:rPr>
              <w:t xml:space="preserve"> min Q /A and discussion</w:t>
            </w:r>
          </w:p>
          <w:p w14:paraId="24085328" w14:textId="71FD4D56" w:rsidR="0019410B" w:rsidRPr="00F12809" w:rsidRDefault="00A512F6" w:rsidP="005E6603">
            <w:pPr>
              <w:pStyle w:val="NormalWeb"/>
              <w:rPr>
                <w:rFonts w:asciiTheme="majorBidi" w:hAnsiTheme="majorBidi" w:cstheme="majorBidi"/>
                <w:color w:val="000000"/>
                <w:sz w:val="22"/>
                <w:szCs w:val="22"/>
              </w:rPr>
            </w:pPr>
            <w:r w:rsidRPr="00F12809">
              <w:rPr>
                <w:rFonts w:asciiTheme="majorBidi" w:hAnsiTheme="majorBidi" w:cstheme="majorBidi"/>
                <w:color w:val="000000"/>
                <w:sz w:val="22"/>
                <w:szCs w:val="22"/>
              </w:rPr>
              <w:t>Presented by</w:t>
            </w:r>
            <w:r w:rsidR="0019410B" w:rsidRPr="00F12809">
              <w:rPr>
                <w:rFonts w:asciiTheme="majorBidi" w:hAnsiTheme="majorBidi" w:cstheme="majorBidi"/>
                <w:color w:val="000000"/>
                <w:sz w:val="22"/>
                <w:szCs w:val="22"/>
              </w:rPr>
              <w:t xml:space="preserve"> UN-Habitat</w:t>
            </w:r>
            <w:r w:rsidR="00E41423" w:rsidRPr="00F12809">
              <w:rPr>
                <w:rFonts w:asciiTheme="majorBidi" w:hAnsiTheme="majorBidi" w:cstheme="majorBidi"/>
                <w:color w:val="000000"/>
                <w:sz w:val="22"/>
                <w:szCs w:val="22"/>
              </w:rPr>
              <w:t> / GLTN</w:t>
            </w:r>
          </w:p>
          <w:p w14:paraId="449CD8EB" w14:textId="30FAD290" w:rsidR="00E41423" w:rsidRPr="00F12809" w:rsidRDefault="0019410B" w:rsidP="005E6603">
            <w:pPr>
              <w:pStyle w:val="NormalWeb"/>
              <w:rPr>
                <w:rFonts w:asciiTheme="majorBidi" w:hAnsiTheme="majorBidi" w:cstheme="majorBidi"/>
                <w:color w:val="000000"/>
                <w:sz w:val="22"/>
                <w:szCs w:val="22"/>
                <w:lang w:val="es-419"/>
              </w:rPr>
            </w:pPr>
            <w:r w:rsidRPr="00F12809">
              <w:rPr>
                <w:rFonts w:asciiTheme="majorBidi" w:hAnsiTheme="majorBidi" w:cstheme="majorBidi"/>
                <w:color w:val="000000"/>
                <w:sz w:val="22"/>
                <w:szCs w:val="22"/>
              </w:rPr>
              <w:t>Dogu</w:t>
            </w:r>
            <w:r w:rsidR="00E41423" w:rsidRPr="00F12809">
              <w:rPr>
                <w:rFonts w:asciiTheme="majorBidi" w:hAnsiTheme="majorBidi" w:cstheme="majorBidi"/>
                <w:color w:val="000000"/>
                <w:sz w:val="22"/>
                <w:szCs w:val="22"/>
              </w:rPr>
              <w:t xml:space="preserve"> Karakaya &amp; </w:t>
            </w:r>
            <w:r w:rsidR="00E41423" w:rsidRPr="00F12809">
              <w:rPr>
                <w:rFonts w:asciiTheme="majorBidi" w:hAnsiTheme="majorBidi" w:cstheme="majorBidi"/>
                <w:color w:val="000000"/>
                <w:sz w:val="22"/>
                <w:szCs w:val="22"/>
                <w:lang w:val="es-419"/>
              </w:rPr>
              <w:t>Regina Orvananos</w:t>
            </w:r>
          </w:p>
          <w:p w14:paraId="16A34C54" w14:textId="63E52DC4" w:rsidR="008A49B1" w:rsidRPr="00F12809" w:rsidRDefault="0019410B" w:rsidP="005E6603">
            <w:pPr>
              <w:pStyle w:val="NormalWeb"/>
              <w:rPr>
                <w:rFonts w:asciiTheme="majorBidi" w:hAnsiTheme="majorBidi" w:cstheme="majorBidi"/>
                <w:color w:val="000000"/>
                <w:sz w:val="22"/>
                <w:szCs w:val="22"/>
                <w:lang w:val="es-419"/>
              </w:rPr>
            </w:pPr>
            <w:r w:rsidRPr="00F12809" w:rsidDel="0019410B">
              <w:rPr>
                <w:rFonts w:asciiTheme="majorBidi" w:hAnsiTheme="majorBidi" w:cstheme="majorBidi"/>
                <w:color w:val="000000"/>
                <w:sz w:val="22"/>
                <w:szCs w:val="22"/>
                <w:lang w:val="es-419"/>
              </w:rPr>
              <w:t xml:space="preserve"> </w:t>
            </w:r>
          </w:p>
        </w:tc>
      </w:tr>
      <w:tr w:rsidR="009C1504" w:rsidRPr="0075541C" w14:paraId="315F1A57" w14:textId="77777777" w:rsidTr="00F12809">
        <w:trPr>
          <w:trHeight w:val="692"/>
        </w:trPr>
        <w:tc>
          <w:tcPr>
            <w:tcW w:w="2065" w:type="dxa"/>
          </w:tcPr>
          <w:p w14:paraId="7FD513AB" w14:textId="2C9572C3" w:rsidR="009C1504" w:rsidRPr="0075541C" w:rsidDel="009C1504" w:rsidRDefault="009C1504" w:rsidP="005E6603">
            <w:pPr>
              <w:pStyle w:val="NormalWeb"/>
              <w:rPr>
                <w:color w:val="000000"/>
                <w:sz w:val="22"/>
                <w:szCs w:val="22"/>
              </w:rPr>
            </w:pPr>
            <w:r w:rsidRPr="0075541C">
              <w:rPr>
                <w:color w:val="000000"/>
                <w:sz w:val="22"/>
                <w:szCs w:val="22"/>
              </w:rPr>
              <w:t>12:</w:t>
            </w:r>
            <w:r w:rsidR="004F331D" w:rsidRPr="0075541C">
              <w:rPr>
                <w:color w:val="000000"/>
                <w:sz w:val="22"/>
                <w:szCs w:val="22"/>
              </w:rPr>
              <w:t>05</w:t>
            </w:r>
            <w:r w:rsidRPr="0075541C">
              <w:rPr>
                <w:color w:val="000000"/>
                <w:sz w:val="22"/>
                <w:szCs w:val="22"/>
              </w:rPr>
              <w:t xml:space="preserve"> </w:t>
            </w:r>
          </w:p>
        </w:tc>
        <w:tc>
          <w:tcPr>
            <w:tcW w:w="4680" w:type="dxa"/>
          </w:tcPr>
          <w:p w14:paraId="2C6070D4" w14:textId="34536394" w:rsidR="009C1504" w:rsidRPr="0075541C" w:rsidRDefault="009C1504" w:rsidP="005E6603">
            <w:pPr>
              <w:pStyle w:val="NormalWeb"/>
              <w:rPr>
                <w:color w:val="000000" w:themeColor="text1"/>
                <w:sz w:val="22"/>
                <w:szCs w:val="22"/>
              </w:rPr>
            </w:pPr>
            <w:r w:rsidRPr="0075541C">
              <w:rPr>
                <w:color w:val="000000" w:themeColor="text1"/>
                <w:sz w:val="22"/>
                <w:szCs w:val="22"/>
              </w:rPr>
              <w:t xml:space="preserve">Presentation on SDG indicator </w:t>
            </w:r>
            <w:proofErr w:type="gramStart"/>
            <w:r w:rsidRPr="0075541C">
              <w:rPr>
                <w:color w:val="000000" w:themeColor="text1"/>
                <w:sz w:val="22"/>
                <w:szCs w:val="22"/>
              </w:rPr>
              <w:t>5.a.</w:t>
            </w:r>
            <w:proofErr w:type="gramEnd"/>
            <w:r w:rsidRPr="0075541C">
              <w:rPr>
                <w:color w:val="000000" w:themeColor="text1"/>
                <w:sz w:val="22"/>
                <w:szCs w:val="22"/>
              </w:rPr>
              <w:t>2</w:t>
            </w:r>
          </w:p>
        </w:tc>
        <w:tc>
          <w:tcPr>
            <w:tcW w:w="3150" w:type="dxa"/>
          </w:tcPr>
          <w:p w14:paraId="0AD53BAD" w14:textId="40B0D9E7" w:rsidR="009C1504" w:rsidRPr="0075541C" w:rsidRDefault="009C1504" w:rsidP="00F12809">
            <w:pPr>
              <w:pStyle w:val="NormalWeb"/>
              <w:rPr>
                <w:color w:val="000000"/>
                <w:sz w:val="22"/>
                <w:szCs w:val="22"/>
              </w:rPr>
            </w:pPr>
            <w:r w:rsidRPr="0075541C">
              <w:rPr>
                <w:color w:val="000000"/>
                <w:sz w:val="22"/>
                <w:szCs w:val="22"/>
              </w:rPr>
              <w:t xml:space="preserve">By FAO </w:t>
            </w:r>
            <w:r w:rsidR="00F12809">
              <w:rPr>
                <w:color w:val="000000"/>
                <w:sz w:val="22"/>
                <w:szCs w:val="22"/>
              </w:rPr>
              <w:t xml:space="preserve">- </w:t>
            </w:r>
            <w:r w:rsidRPr="0075541C">
              <w:rPr>
                <w:color w:val="000000"/>
                <w:sz w:val="22"/>
                <w:szCs w:val="22"/>
              </w:rPr>
              <w:t>10 min presentation and 10 min Q/A and discussion</w:t>
            </w:r>
          </w:p>
        </w:tc>
      </w:tr>
      <w:tr w:rsidR="00314226" w:rsidRPr="0075541C" w14:paraId="577BE2A6" w14:textId="77777777" w:rsidTr="00F12809">
        <w:trPr>
          <w:trHeight w:val="611"/>
        </w:trPr>
        <w:tc>
          <w:tcPr>
            <w:tcW w:w="2065" w:type="dxa"/>
          </w:tcPr>
          <w:p w14:paraId="538B6ACA" w14:textId="6A1994D0" w:rsidR="00314226" w:rsidRPr="0075541C" w:rsidRDefault="009C1504" w:rsidP="005E6603">
            <w:pPr>
              <w:pStyle w:val="NormalWeb"/>
              <w:rPr>
                <w:color w:val="000000"/>
                <w:sz w:val="22"/>
                <w:szCs w:val="22"/>
              </w:rPr>
            </w:pPr>
            <w:proofErr w:type="gramStart"/>
            <w:r w:rsidRPr="0075541C">
              <w:rPr>
                <w:color w:val="000000"/>
                <w:sz w:val="22"/>
                <w:szCs w:val="22"/>
              </w:rPr>
              <w:t>12:</w:t>
            </w:r>
            <w:r w:rsidR="004F331D" w:rsidRPr="0075541C">
              <w:rPr>
                <w:color w:val="000000"/>
                <w:sz w:val="22"/>
                <w:szCs w:val="22"/>
              </w:rPr>
              <w:t>25</w:t>
            </w:r>
            <w:r w:rsidRPr="0075541C">
              <w:rPr>
                <w:color w:val="000000"/>
                <w:sz w:val="22"/>
                <w:szCs w:val="22"/>
              </w:rPr>
              <w:t xml:space="preserve">  </w:t>
            </w:r>
            <w:r w:rsidR="00314226" w:rsidRPr="0075541C">
              <w:rPr>
                <w:color w:val="000000"/>
                <w:sz w:val="22"/>
                <w:szCs w:val="22"/>
              </w:rPr>
              <w:t>min</w:t>
            </w:r>
            <w:proofErr w:type="gramEnd"/>
          </w:p>
        </w:tc>
        <w:tc>
          <w:tcPr>
            <w:tcW w:w="4680" w:type="dxa"/>
          </w:tcPr>
          <w:p w14:paraId="268CAB7D" w14:textId="0680B998" w:rsidR="00B135E9" w:rsidRPr="00F12809" w:rsidRDefault="009D7A61" w:rsidP="00F12809">
            <w:pPr>
              <w:pStyle w:val="NormalWeb"/>
              <w:rPr>
                <w:color w:val="000000" w:themeColor="text1"/>
                <w:sz w:val="22"/>
                <w:szCs w:val="22"/>
              </w:rPr>
            </w:pPr>
            <w:r>
              <w:rPr>
                <w:color w:val="000000" w:themeColor="text1"/>
                <w:sz w:val="22"/>
                <w:szCs w:val="22"/>
              </w:rPr>
              <w:t>Case study:</w:t>
            </w:r>
            <w:r w:rsidR="00314226" w:rsidRPr="0075541C">
              <w:rPr>
                <w:color w:val="000000" w:themeColor="text1"/>
                <w:sz w:val="22"/>
                <w:szCs w:val="22"/>
              </w:rPr>
              <w:t xml:space="preserve"> Qatar Land Administration </w:t>
            </w:r>
            <w:r w:rsidR="009C1504" w:rsidRPr="0075541C">
              <w:rPr>
                <w:color w:val="000000" w:themeColor="text1"/>
                <w:sz w:val="22"/>
                <w:szCs w:val="22"/>
              </w:rPr>
              <w:t xml:space="preserve">and </w:t>
            </w:r>
            <w:r w:rsidR="00314226" w:rsidRPr="0075541C">
              <w:rPr>
                <w:color w:val="000000" w:themeColor="text1"/>
                <w:sz w:val="22"/>
                <w:szCs w:val="22"/>
              </w:rPr>
              <w:t>Registration Context</w:t>
            </w:r>
          </w:p>
        </w:tc>
        <w:tc>
          <w:tcPr>
            <w:tcW w:w="3150" w:type="dxa"/>
          </w:tcPr>
          <w:p w14:paraId="7D9BA7A8" w14:textId="79048A08" w:rsidR="00BB0065" w:rsidRPr="0075541C" w:rsidRDefault="00F12809" w:rsidP="005E6603">
            <w:pPr>
              <w:pStyle w:val="NormalWeb"/>
              <w:rPr>
                <w:color w:val="000000"/>
                <w:sz w:val="22"/>
                <w:szCs w:val="22"/>
              </w:rPr>
            </w:pPr>
            <w:r>
              <w:rPr>
                <w:color w:val="000000"/>
                <w:sz w:val="22"/>
                <w:szCs w:val="22"/>
              </w:rPr>
              <w:t>TBC</w:t>
            </w:r>
          </w:p>
        </w:tc>
      </w:tr>
      <w:tr w:rsidR="000E0309" w:rsidRPr="0075541C" w14:paraId="6669D085" w14:textId="77777777" w:rsidTr="00A13E3E">
        <w:trPr>
          <w:trHeight w:val="458"/>
        </w:trPr>
        <w:tc>
          <w:tcPr>
            <w:tcW w:w="2065" w:type="dxa"/>
          </w:tcPr>
          <w:p w14:paraId="2083E837" w14:textId="21203A34" w:rsidR="00D905AB" w:rsidRPr="0075541C" w:rsidRDefault="004F331D" w:rsidP="005E6603">
            <w:pPr>
              <w:pStyle w:val="NormalWeb"/>
              <w:rPr>
                <w:color w:val="000000"/>
                <w:sz w:val="22"/>
                <w:szCs w:val="22"/>
              </w:rPr>
            </w:pPr>
            <w:r w:rsidRPr="0075541C">
              <w:rPr>
                <w:color w:val="000000"/>
                <w:sz w:val="22"/>
                <w:szCs w:val="22"/>
              </w:rPr>
              <w:t xml:space="preserve">12:45 </w:t>
            </w:r>
            <w:r w:rsidR="00D905AB" w:rsidRPr="0075541C">
              <w:rPr>
                <w:color w:val="000000"/>
                <w:sz w:val="22"/>
                <w:szCs w:val="22"/>
              </w:rPr>
              <w:t>min</w:t>
            </w:r>
          </w:p>
        </w:tc>
        <w:tc>
          <w:tcPr>
            <w:tcW w:w="4680" w:type="dxa"/>
          </w:tcPr>
          <w:p w14:paraId="7F704331" w14:textId="31DCCEC7" w:rsidR="00DB0DB2" w:rsidRPr="0075541C" w:rsidRDefault="004F331D" w:rsidP="00A13E3E">
            <w:pPr>
              <w:pStyle w:val="NormalWeb"/>
              <w:rPr>
                <w:color w:val="000000"/>
                <w:sz w:val="22"/>
                <w:szCs w:val="22"/>
              </w:rPr>
            </w:pPr>
            <w:r w:rsidRPr="0075541C">
              <w:rPr>
                <w:color w:val="000000" w:themeColor="text1"/>
                <w:sz w:val="22"/>
                <w:szCs w:val="22"/>
              </w:rPr>
              <w:t>Moderated Q/A and discussion</w:t>
            </w:r>
          </w:p>
        </w:tc>
        <w:tc>
          <w:tcPr>
            <w:tcW w:w="3150" w:type="dxa"/>
          </w:tcPr>
          <w:p w14:paraId="10CEBE5E" w14:textId="47BF552C" w:rsidR="000E0309" w:rsidRPr="0075541C" w:rsidRDefault="000E0309" w:rsidP="005E6603">
            <w:pPr>
              <w:pStyle w:val="NormalWeb"/>
              <w:rPr>
                <w:color w:val="000000"/>
                <w:sz w:val="22"/>
                <w:szCs w:val="22"/>
              </w:rPr>
            </w:pPr>
          </w:p>
        </w:tc>
      </w:tr>
      <w:tr w:rsidR="009A1214" w:rsidRPr="0075541C" w14:paraId="6FFB0834" w14:textId="77777777" w:rsidTr="00A13E3E">
        <w:tc>
          <w:tcPr>
            <w:tcW w:w="2065" w:type="dxa"/>
          </w:tcPr>
          <w:p w14:paraId="11698FC8" w14:textId="266399BB" w:rsidR="009A1214" w:rsidRPr="0075541C" w:rsidRDefault="004F331D" w:rsidP="009A1214">
            <w:pPr>
              <w:pStyle w:val="NormalWeb"/>
              <w:rPr>
                <w:color w:val="000000"/>
                <w:sz w:val="22"/>
                <w:szCs w:val="22"/>
              </w:rPr>
            </w:pPr>
            <w:r w:rsidRPr="0075541C">
              <w:rPr>
                <w:color w:val="000000"/>
                <w:sz w:val="22"/>
                <w:szCs w:val="22"/>
              </w:rPr>
              <w:t>12:55</w:t>
            </w:r>
            <w:r w:rsidR="00A30D70" w:rsidRPr="0075541C">
              <w:rPr>
                <w:color w:val="000000"/>
                <w:sz w:val="22"/>
                <w:szCs w:val="22"/>
              </w:rPr>
              <w:t xml:space="preserve"> </w:t>
            </w:r>
          </w:p>
        </w:tc>
        <w:tc>
          <w:tcPr>
            <w:tcW w:w="4680" w:type="dxa"/>
          </w:tcPr>
          <w:p w14:paraId="19BDB550" w14:textId="560D6689" w:rsidR="009A1214" w:rsidRPr="0075541C" w:rsidRDefault="004F331D" w:rsidP="009A1214">
            <w:pPr>
              <w:pStyle w:val="NormalWeb"/>
              <w:rPr>
                <w:color w:val="000000"/>
                <w:sz w:val="22"/>
                <w:szCs w:val="22"/>
              </w:rPr>
            </w:pPr>
            <w:r w:rsidRPr="0075541C">
              <w:rPr>
                <w:color w:val="000000"/>
                <w:sz w:val="22"/>
                <w:szCs w:val="22"/>
              </w:rPr>
              <w:t xml:space="preserve">Closing </w:t>
            </w:r>
            <w:r w:rsidR="003D0785" w:rsidRPr="0075541C">
              <w:rPr>
                <w:color w:val="000000"/>
                <w:sz w:val="22"/>
                <w:szCs w:val="22"/>
              </w:rPr>
              <w:t>remarks</w:t>
            </w:r>
          </w:p>
        </w:tc>
        <w:tc>
          <w:tcPr>
            <w:tcW w:w="3150" w:type="dxa"/>
          </w:tcPr>
          <w:p w14:paraId="1DE186BF" w14:textId="5F1D2E76" w:rsidR="009A1214" w:rsidRPr="0075541C" w:rsidRDefault="004F331D" w:rsidP="009A1214">
            <w:pPr>
              <w:pStyle w:val="NormalWeb"/>
              <w:rPr>
                <w:color w:val="000000"/>
                <w:sz w:val="22"/>
                <w:szCs w:val="22"/>
              </w:rPr>
            </w:pPr>
            <w:r w:rsidRPr="0075541C">
              <w:rPr>
                <w:color w:val="000000"/>
                <w:sz w:val="22"/>
                <w:szCs w:val="22"/>
              </w:rPr>
              <w:t>UNESCWA and UN-Habitat</w:t>
            </w:r>
          </w:p>
        </w:tc>
      </w:tr>
    </w:tbl>
    <w:p w14:paraId="120D4659" w14:textId="77777777" w:rsidR="00027E31" w:rsidRPr="0075541C" w:rsidRDefault="00027E31" w:rsidP="009A1214">
      <w:pPr>
        <w:rPr>
          <w:rFonts w:ascii="Times New Roman" w:hAnsi="Times New Roman" w:cs="Times New Roman"/>
        </w:rPr>
      </w:pPr>
    </w:p>
    <w:p w14:paraId="6C66D542" w14:textId="77777777" w:rsidR="009E77FF" w:rsidRPr="0075541C" w:rsidRDefault="009E77FF" w:rsidP="00A13E3E">
      <w:pPr>
        <w:rPr>
          <w:rFonts w:ascii="Times New Roman" w:hAnsi="Times New Roman" w:cs="Times New Roman"/>
        </w:rPr>
      </w:pPr>
    </w:p>
    <w:sectPr w:rsidR="009E77FF" w:rsidRPr="0075541C" w:rsidSect="005B063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D47D3" w14:textId="77777777" w:rsidR="0051370A" w:rsidRDefault="0051370A" w:rsidP="005920E7">
      <w:pPr>
        <w:spacing w:after="0" w:line="240" w:lineRule="auto"/>
      </w:pPr>
      <w:r>
        <w:separator/>
      </w:r>
    </w:p>
  </w:endnote>
  <w:endnote w:type="continuationSeparator" w:id="0">
    <w:p w14:paraId="0A35C2F3" w14:textId="77777777" w:rsidR="0051370A" w:rsidRDefault="0051370A" w:rsidP="0059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5E229" w14:textId="77777777" w:rsidR="0051370A" w:rsidRDefault="0051370A" w:rsidP="005920E7">
      <w:pPr>
        <w:spacing w:after="0" w:line="240" w:lineRule="auto"/>
      </w:pPr>
      <w:r>
        <w:separator/>
      </w:r>
    </w:p>
  </w:footnote>
  <w:footnote w:type="continuationSeparator" w:id="0">
    <w:p w14:paraId="104B143C" w14:textId="77777777" w:rsidR="0051370A" w:rsidRDefault="0051370A" w:rsidP="00592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1" w:type="dxa"/>
      <w:tblInd w:w="-6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8"/>
      <w:gridCol w:w="2706"/>
      <w:gridCol w:w="2788"/>
      <w:gridCol w:w="3219"/>
    </w:tblGrid>
    <w:tr w:rsidR="00C567A0" w14:paraId="54C6BD80" w14:textId="77777777" w:rsidTr="00A354E7">
      <w:tc>
        <w:tcPr>
          <w:tcW w:w="1620" w:type="dxa"/>
          <w:vAlign w:val="center"/>
        </w:tcPr>
        <w:p w14:paraId="69709880" w14:textId="77777777" w:rsidR="00C567A0" w:rsidRDefault="00C567A0" w:rsidP="00C567A0">
          <w:pPr>
            <w:pStyle w:val="Header"/>
          </w:pPr>
          <w:r>
            <w:rPr>
              <w:noProof/>
            </w:rPr>
            <w:drawing>
              <wp:inline distT="0" distB="0" distL="0" distR="0" wp14:anchorId="6760CC3C" wp14:editId="078819DA">
                <wp:extent cx="679450" cy="666094"/>
                <wp:effectExtent l="0" t="0" r="6350" b="1270"/>
                <wp:docPr id="1778708667" name="Picture 2" descr="A blue logo with a person in a circle and a blue circle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11617" name="Picture 2" descr="A blue logo with a person in a circle and a blue circle with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9321" cy="675771"/>
                        </a:xfrm>
                        <a:prstGeom prst="rect">
                          <a:avLst/>
                        </a:prstGeom>
                      </pic:spPr>
                    </pic:pic>
                  </a:graphicData>
                </a:graphic>
              </wp:inline>
            </w:drawing>
          </w:r>
        </w:p>
      </w:tc>
      <w:tc>
        <w:tcPr>
          <w:tcW w:w="2883" w:type="dxa"/>
          <w:vAlign w:val="center"/>
        </w:tcPr>
        <w:p w14:paraId="1F9760EF" w14:textId="77777777" w:rsidR="00C567A0" w:rsidRDefault="00C567A0" w:rsidP="00C567A0">
          <w:pPr>
            <w:pStyle w:val="Header"/>
            <w:jc w:val="center"/>
          </w:pPr>
          <w:r>
            <w:rPr>
              <w:noProof/>
            </w:rPr>
            <w:drawing>
              <wp:inline distT="0" distB="0" distL="0" distR="0" wp14:anchorId="0B5483EF" wp14:editId="44562318">
                <wp:extent cx="1289116" cy="419100"/>
                <wp:effectExtent l="0" t="0" r="6350" b="0"/>
                <wp:docPr id="489761237" name="Picture 3"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46080" name="Picture 3" descr="A logo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6930" cy="431394"/>
                        </a:xfrm>
                        <a:prstGeom prst="rect">
                          <a:avLst/>
                        </a:prstGeom>
                      </pic:spPr>
                    </pic:pic>
                  </a:graphicData>
                </a:graphic>
              </wp:inline>
            </w:drawing>
          </w:r>
        </w:p>
      </w:tc>
      <w:tc>
        <w:tcPr>
          <w:tcW w:w="2856" w:type="dxa"/>
          <w:vAlign w:val="center"/>
        </w:tcPr>
        <w:p w14:paraId="0D6E8306" w14:textId="77777777" w:rsidR="00C567A0" w:rsidRDefault="00C567A0" w:rsidP="00C567A0">
          <w:pPr>
            <w:pStyle w:val="Header"/>
            <w:jc w:val="center"/>
          </w:pPr>
          <w:r>
            <w:rPr>
              <w:noProof/>
            </w:rPr>
            <w:drawing>
              <wp:inline distT="0" distB="0" distL="0" distR="0" wp14:anchorId="378D1D32" wp14:editId="3BA5D9F6">
                <wp:extent cx="1521851" cy="476250"/>
                <wp:effectExtent l="0" t="0" r="2540" b="0"/>
                <wp:docPr id="1686918245"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20592" name="Picture 4" descr="A black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68411" cy="490821"/>
                        </a:xfrm>
                        <a:prstGeom prst="rect">
                          <a:avLst/>
                        </a:prstGeom>
                      </pic:spPr>
                    </pic:pic>
                  </a:graphicData>
                </a:graphic>
              </wp:inline>
            </w:drawing>
          </w:r>
        </w:p>
      </w:tc>
      <w:tc>
        <w:tcPr>
          <w:tcW w:w="2882" w:type="dxa"/>
          <w:vAlign w:val="center"/>
        </w:tcPr>
        <w:p w14:paraId="63A53A9E" w14:textId="77777777" w:rsidR="00C567A0" w:rsidRDefault="00C567A0" w:rsidP="00C567A0">
          <w:pPr>
            <w:pStyle w:val="Header"/>
            <w:jc w:val="right"/>
          </w:pPr>
          <w:r>
            <w:rPr>
              <w:noProof/>
            </w:rPr>
            <w:drawing>
              <wp:inline distT="0" distB="0" distL="0" distR="0" wp14:anchorId="64A78131" wp14:editId="091411F1">
                <wp:extent cx="1907275" cy="621030"/>
                <wp:effectExtent l="0" t="0" r="0" b="7620"/>
                <wp:docPr id="19908967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16643" name="Picture 1" descr="A close-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68213" cy="640872"/>
                        </a:xfrm>
                        <a:prstGeom prst="rect">
                          <a:avLst/>
                        </a:prstGeom>
                      </pic:spPr>
                    </pic:pic>
                  </a:graphicData>
                </a:graphic>
              </wp:inline>
            </w:drawing>
          </w:r>
        </w:p>
      </w:tc>
    </w:tr>
  </w:tbl>
  <w:p w14:paraId="1F0F0DB7" w14:textId="77777777" w:rsidR="00C567A0" w:rsidRDefault="00C5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046"/>
    <w:multiLevelType w:val="hybridMultilevel"/>
    <w:tmpl w:val="663477B4"/>
    <w:lvl w:ilvl="0" w:tplc="997802F2">
      <w:start w:val="1"/>
      <w:numFmt w:val="bullet"/>
      <w:lvlText w:val=""/>
      <w:lvlJc w:val="left"/>
      <w:pPr>
        <w:ind w:left="720" w:hanging="360"/>
      </w:pPr>
      <w:rPr>
        <w:rFonts w:ascii="Symbol" w:eastAsia="Times New Roman" w:hAnsi="Symbol" w:cs="Times New Roman"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07AB5"/>
    <w:multiLevelType w:val="hybridMultilevel"/>
    <w:tmpl w:val="4034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A1996"/>
    <w:multiLevelType w:val="hybridMultilevel"/>
    <w:tmpl w:val="A62A39DA"/>
    <w:lvl w:ilvl="0" w:tplc="FA2AADF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020F8"/>
    <w:multiLevelType w:val="hybridMultilevel"/>
    <w:tmpl w:val="EA58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35A44"/>
    <w:multiLevelType w:val="multilevel"/>
    <w:tmpl w:val="5318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50142"/>
    <w:multiLevelType w:val="multilevel"/>
    <w:tmpl w:val="E1D8D7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351C4"/>
    <w:multiLevelType w:val="hybridMultilevel"/>
    <w:tmpl w:val="24065614"/>
    <w:lvl w:ilvl="0" w:tplc="9B16428E">
      <w:start w:val="1"/>
      <w:numFmt w:val="bullet"/>
      <w:lvlText w:val=""/>
      <w:lvlJc w:val="left"/>
      <w:pPr>
        <w:ind w:left="1440" w:hanging="360"/>
      </w:pPr>
      <w:rPr>
        <w:rFonts w:ascii="Symbol" w:hAnsi="Symbol"/>
      </w:rPr>
    </w:lvl>
    <w:lvl w:ilvl="1" w:tplc="928EE7D6">
      <w:start w:val="1"/>
      <w:numFmt w:val="bullet"/>
      <w:lvlText w:val=""/>
      <w:lvlJc w:val="left"/>
      <w:pPr>
        <w:ind w:left="1440" w:hanging="360"/>
      </w:pPr>
      <w:rPr>
        <w:rFonts w:ascii="Symbol" w:hAnsi="Symbol"/>
      </w:rPr>
    </w:lvl>
    <w:lvl w:ilvl="2" w:tplc="B93E2044">
      <w:start w:val="1"/>
      <w:numFmt w:val="bullet"/>
      <w:lvlText w:val=""/>
      <w:lvlJc w:val="left"/>
      <w:pPr>
        <w:ind w:left="1440" w:hanging="360"/>
      </w:pPr>
      <w:rPr>
        <w:rFonts w:ascii="Symbol" w:hAnsi="Symbol"/>
      </w:rPr>
    </w:lvl>
    <w:lvl w:ilvl="3" w:tplc="39F4BEF4">
      <w:start w:val="1"/>
      <w:numFmt w:val="bullet"/>
      <w:lvlText w:val=""/>
      <w:lvlJc w:val="left"/>
      <w:pPr>
        <w:ind w:left="1440" w:hanging="360"/>
      </w:pPr>
      <w:rPr>
        <w:rFonts w:ascii="Symbol" w:hAnsi="Symbol"/>
      </w:rPr>
    </w:lvl>
    <w:lvl w:ilvl="4" w:tplc="109A34CA">
      <w:start w:val="1"/>
      <w:numFmt w:val="bullet"/>
      <w:lvlText w:val=""/>
      <w:lvlJc w:val="left"/>
      <w:pPr>
        <w:ind w:left="1440" w:hanging="360"/>
      </w:pPr>
      <w:rPr>
        <w:rFonts w:ascii="Symbol" w:hAnsi="Symbol"/>
      </w:rPr>
    </w:lvl>
    <w:lvl w:ilvl="5" w:tplc="90A6C088">
      <w:start w:val="1"/>
      <w:numFmt w:val="bullet"/>
      <w:lvlText w:val=""/>
      <w:lvlJc w:val="left"/>
      <w:pPr>
        <w:ind w:left="1440" w:hanging="360"/>
      </w:pPr>
      <w:rPr>
        <w:rFonts w:ascii="Symbol" w:hAnsi="Symbol"/>
      </w:rPr>
    </w:lvl>
    <w:lvl w:ilvl="6" w:tplc="B914AA7E">
      <w:start w:val="1"/>
      <w:numFmt w:val="bullet"/>
      <w:lvlText w:val=""/>
      <w:lvlJc w:val="left"/>
      <w:pPr>
        <w:ind w:left="1440" w:hanging="360"/>
      </w:pPr>
      <w:rPr>
        <w:rFonts w:ascii="Symbol" w:hAnsi="Symbol"/>
      </w:rPr>
    </w:lvl>
    <w:lvl w:ilvl="7" w:tplc="40A8CFB6">
      <w:start w:val="1"/>
      <w:numFmt w:val="bullet"/>
      <w:lvlText w:val=""/>
      <w:lvlJc w:val="left"/>
      <w:pPr>
        <w:ind w:left="1440" w:hanging="360"/>
      </w:pPr>
      <w:rPr>
        <w:rFonts w:ascii="Symbol" w:hAnsi="Symbol"/>
      </w:rPr>
    </w:lvl>
    <w:lvl w:ilvl="8" w:tplc="123AB2DC">
      <w:start w:val="1"/>
      <w:numFmt w:val="bullet"/>
      <w:lvlText w:val=""/>
      <w:lvlJc w:val="left"/>
      <w:pPr>
        <w:ind w:left="1440" w:hanging="360"/>
      </w:pPr>
      <w:rPr>
        <w:rFonts w:ascii="Symbol" w:hAnsi="Symbol"/>
      </w:rPr>
    </w:lvl>
  </w:abstractNum>
  <w:abstractNum w:abstractNumId="7" w15:restartNumberingAfterBreak="0">
    <w:nsid w:val="29427AAB"/>
    <w:multiLevelType w:val="hybridMultilevel"/>
    <w:tmpl w:val="9C5C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14A50"/>
    <w:multiLevelType w:val="hybridMultilevel"/>
    <w:tmpl w:val="3688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54327"/>
    <w:multiLevelType w:val="hybridMultilevel"/>
    <w:tmpl w:val="D064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F2298"/>
    <w:multiLevelType w:val="multilevel"/>
    <w:tmpl w:val="B374D5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0169E"/>
    <w:multiLevelType w:val="hybridMultilevel"/>
    <w:tmpl w:val="FB6CF546"/>
    <w:lvl w:ilvl="0" w:tplc="2E26D0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86E59"/>
    <w:multiLevelType w:val="multilevel"/>
    <w:tmpl w:val="2E2C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A240D"/>
    <w:multiLevelType w:val="multilevel"/>
    <w:tmpl w:val="820CA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846BD1"/>
    <w:multiLevelType w:val="hybridMultilevel"/>
    <w:tmpl w:val="CE34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0287C"/>
    <w:multiLevelType w:val="hybridMultilevel"/>
    <w:tmpl w:val="D10E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51F18"/>
    <w:multiLevelType w:val="hybridMultilevel"/>
    <w:tmpl w:val="427E4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12651A"/>
    <w:multiLevelType w:val="hybridMultilevel"/>
    <w:tmpl w:val="7DC2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6B876948"/>
    <w:multiLevelType w:val="hybridMultilevel"/>
    <w:tmpl w:val="76D09436"/>
    <w:lvl w:ilvl="0" w:tplc="997802F2">
      <w:start w:val="1"/>
      <w:numFmt w:val="bullet"/>
      <w:lvlText w:val=""/>
      <w:lvlJc w:val="left"/>
      <w:pPr>
        <w:ind w:left="360" w:hanging="360"/>
      </w:pPr>
      <w:rPr>
        <w:rFonts w:ascii="Symbol" w:eastAsia="Times New Roman"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91CF9"/>
    <w:multiLevelType w:val="hybridMultilevel"/>
    <w:tmpl w:val="47BA0B8E"/>
    <w:lvl w:ilvl="0" w:tplc="FA2AADF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730DA"/>
    <w:multiLevelType w:val="hybridMultilevel"/>
    <w:tmpl w:val="68EA42A8"/>
    <w:lvl w:ilvl="0" w:tplc="997802F2">
      <w:start w:val="1"/>
      <w:numFmt w:val="bullet"/>
      <w:lvlText w:val=""/>
      <w:lvlJc w:val="left"/>
      <w:pPr>
        <w:ind w:left="360" w:hanging="360"/>
      </w:pPr>
      <w:rPr>
        <w:rFonts w:ascii="Symbol" w:eastAsia="Times New Roman" w:hAnsi="Symbol"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0E6617"/>
    <w:multiLevelType w:val="hybridMultilevel"/>
    <w:tmpl w:val="8944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295ED0"/>
    <w:multiLevelType w:val="multilevel"/>
    <w:tmpl w:val="5212D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025317">
    <w:abstractNumId w:val="19"/>
  </w:num>
  <w:num w:numId="2" w16cid:durableId="2133548111">
    <w:abstractNumId w:val="2"/>
  </w:num>
  <w:num w:numId="3" w16cid:durableId="348601137">
    <w:abstractNumId w:val="11"/>
  </w:num>
  <w:num w:numId="4" w16cid:durableId="105584530">
    <w:abstractNumId w:val="16"/>
  </w:num>
  <w:num w:numId="5" w16cid:durableId="676226645">
    <w:abstractNumId w:val="1"/>
  </w:num>
  <w:num w:numId="6" w16cid:durableId="1561861145">
    <w:abstractNumId w:val="9"/>
  </w:num>
  <w:num w:numId="7" w16cid:durableId="597103858">
    <w:abstractNumId w:val="20"/>
  </w:num>
  <w:num w:numId="8" w16cid:durableId="121726465">
    <w:abstractNumId w:val="0"/>
  </w:num>
  <w:num w:numId="9" w16cid:durableId="16322070">
    <w:abstractNumId w:val="12"/>
  </w:num>
  <w:num w:numId="10" w16cid:durableId="1366642472">
    <w:abstractNumId w:val="10"/>
  </w:num>
  <w:num w:numId="11" w16cid:durableId="1298488060">
    <w:abstractNumId w:val="22"/>
  </w:num>
  <w:num w:numId="12" w16cid:durableId="1737244281">
    <w:abstractNumId w:val="13"/>
  </w:num>
  <w:num w:numId="13" w16cid:durableId="2116751514">
    <w:abstractNumId w:val="5"/>
  </w:num>
  <w:num w:numId="14" w16cid:durableId="1450586671">
    <w:abstractNumId w:val="18"/>
  </w:num>
  <w:num w:numId="15" w16cid:durableId="1895388389">
    <w:abstractNumId w:val="8"/>
  </w:num>
  <w:num w:numId="16" w16cid:durableId="702250875">
    <w:abstractNumId w:val="17"/>
  </w:num>
  <w:num w:numId="17" w16cid:durableId="1474444237">
    <w:abstractNumId w:val="14"/>
  </w:num>
  <w:num w:numId="18" w16cid:durableId="60566375">
    <w:abstractNumId w:val="15"/>
  </w:num>
  <w:num w:numId="19" w16cid:durableId="57363370">
    <w:abstractNumId w:val="3"/>
  </w:num>
  <w:num w:numId="20" w16cid:durableId="1898709969">
    <w:abstractNumId w:val="7"/>
  </w:num>
  <w:num w:numId="21" w16cid:durableId="1052119203">
    <w:abstractNumId w:val="21"/>
  </w:num>
  <w:num w:numId="22" w16cid:durableId="450712832">
    <w:abstractNumId w:val="6"/>
  </w:num>
  <w:num w:numId="23" w16cid:durableId="1025328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1F"/>
    <w:rsid w:val="00003515"/>
    <w:rsid w:val="00005F96"/>
    <w:rsid w:val="00012F5E"/>
    <w:rsid w:val="00013676"/>
    <w:rsid w:val="00022973"/>
    <w:rsid w:val="00025156"/>
    <w:rsid w:val="00027E31"/>
    <w:rsid w:val="00031A49"/>
    <w:rsid w:val="00033BB6"/>
    <w:rsid w:val="000462F5"/>
    <w:rsid w:val="000612E5"/>
    <w:rsid w:val="00066D61"/>
    <w:rsid w:val="000707B9"/>
    <w:rsid w:val="000A4A3B"/>
    <w:rsid w:val="000B12B2"/>
    <w:rsid w:val="000C319D"/>
    <w:rsid w:val="000E0309"/>
    <w:rsid w:val="000F654D"/>
    <w:rsid w:val="00100F2C"/>
    <w:rsid w:val="001066F7"/>
    <w:rsid w:val="001223CF"/>
    <w:rsid w:val="00145894"/>
    <w:rsid w:val="0014790A"/>
    <w:rsid w:val="0015573C"/>
    <w:rsid w:val="001658BE"/>
    <w:rsid w:val="00176778"/>
    <w:rsid w:val="00180232"/>
    <w:rsid w:val="00191106"/>
    <w:rsid w:val="00191237"/>
    <w:rsid w:val="0019185A"/>
    <w:rsid w:val="0019410B"/>
    <w:rsid w:val="001C71AD"/>
    <w:rsid w:val="001D4A11"/>
    <w:rsid w:val="001D7D35"/>
    <w:rsid w:val="00205F19"/>
    <w:rsid w:val="0021411F"/>
    <w:rsid w:val="0021666F"/>
    <w:rsid w:val="002244BD"/>
    <w:rsid w:val="00226120"/>
    <w:rsid w:val="00227D7B"/>
    <w:rsid w:val="00233CF6"/>
    <w:rsid w:val="00243DC5"/>
    <w:rsid w:val="00257CBD"/>
    <w:rsid w:val="00261903"/>
    <w:rsid w:val="002658E8"/>
    <w:rsid w:val="002836A6"/>
    <w:rsid w:val="002862D4"/>
    <w:rsid w:val="002A0276"/>
    <w:rsid w:val="002B44C2"/>
    <w:rsid w:val="002C06D5"/>
    <w:rsid w:val="002D1932"/>
    <w:rsid w:val="002D6967"/>
    <w:rsid w:val="002E43D7"/>
    <w:rsid w:val="002E6763"/>
    <w:rsid w:val="00306F21"/>
    <w:rsid w:val="00311043"/>
    <w:rsid w:val="00314226"/>
    <w:rsid w:val="003247B6"/>
    <w:rsid w:val="00324DA8"/>
    <w:rsid w:val="00345C49"/>
    <w:rsid w:val="00347F1F"/>
    <w:rsid w:val="00354F54"/>
    <w:rsid w:val="003628E2"/>
    <w:rsid w:val="00365F5F"/>
    <w:rsid w:val="0037658C"/>
    <w:rsid w:val="003864FF"/>
    <w:rsid w:val="0039385A"/>
    <w:rsid w:val="0039772E"/>
    <w:rsid w:val="003A2D4B"/>
    <w:rsid w:val="003D0785"/>
    <w:rsid w:val="004072AC"/>
    <w:rsid w:val="00412FA4"/>
    <w:rsid w:val="00424085"/>
    <w:rsid w:val="0045114D"/>
    <w:rsid w:val="00451227"/>
    <w:rsid w:val="004571F6"/>
    <w:rsid w:val="004830AD"/>
    <w:rsid w:val="00484EF7"/>
    <w:rsid w:val="00485204"/>
    <w:rsid w:val="004940BC"/>
    <w:rsid w:val="004B5B4E"/>
    <w:rsid w:val="004C2E2B"/>
    <w:rsid w:val="004C6695"/>
    <w:rsid w:val="004D1F21"/>
    <w:rsid w:val="004D3444"/>
    <w:rsid w:val="004D382B"/>
    <w:rsid w:val="004D5D0B"/>
    <w:rsid w:val="004D5EB3"/>
    <w:rsid w:val="004E7A75"/>
    <w:rsid w:val="004F331D"/>
    <w:rsid w:val="00501FE3"/>
    <w:rsid w:val="00505B30"/>
    <w:rsid w:val="00507971"/>
    <w:rsid w:val="0051370A"/>
    <w:rsid w:val="00527E93"/>
    <w:rsid w:val="00533E3E"/>
    <w:rsid w:val="005365B2"/>
    <w:rsid w:val="00536B11"/>
    <w:rsid w:val="0056029D"/>
    <w:rsid w:val="005736C8"/>
    <w:rsid w:val="00591566"/>
    <w:rsid w:val="005920E7"/>
    <w:rsid w:val="005B063F"/>
    <w:rsid w:val="005C1004"/>
    <w:rsid w:val="005E6603"/>
    <w:rsid w:val="00604320"/>
    <w:rsid w:val="00616FD2"/>
    <w:rsid w:val="00626D7D"/>
    <w:rsid w:val="006553E4"/>
    <w:rsid w:val="00656C59"/>
    <w:rsid w:val="00662EFF"/>
    <w:rsid w:val="0067298D"/>
    <w:rsid w:val="00675F9F"/>
    <w:rsid w:val="006C6BAE"/>
    <w:rsid w:val="006D5B89"/>
    <w:rsid w:val="00706691"/>
    <w:rsid w:val="00711DEB"/>
    <w:rsid w:val="00725FE7"/>
    <w:rsid w:val="00735532"/>
    <w:rsid w:val="0075541C"/>
    <w:rsid w:val="00760C2E"/>
    <w:rsid w:val="00766183"/>
    <w:rsid w:val="0078172A"/>
    <w:rsid w:val="007861B0"/>
    <w:rsid w:val="007A5FD8"/>
    <w:rsid w:val="007B1757"/>
    <w:rsid w:val="007C123A"/>
    <w:rsid w:val="007E5950"/>
    <w:rsid w:val="007E6907"/>
    <w:rsid w:val="007F00F7"/>
    <w:rsid w:val="007F448C"/>
    <w:rsid w:val="0082577F"/>
    <w:rsid w:val="00827828"/>
    <w:rsid w:val="00831F83"/>
    <w:rsid w:val="008355E8"/>
    <w:rsid w:val="008476C2"/>
    <w:rsid w:val="00847980"/>
    <w:rsid w:val="00866846"/>
    <w:rsid w:val="008743AB"/>
    <w:rsid w:val="00877D42"/>
    <w:rsid w:val="00877D44"/>
    <w:rsid w:val="008A49B1"/>
    <w:rsid w:val="008A73D4"/>
    <w:rsid w:val="008B4AE5"/>
    <w:rsid w:val="008C2519"/>
    <w:rsid w:val="008C57C8"/>
    <w:rsid w:val="008D2DFA"/>
    <w:rsid w:val="008E6E60"/>
    <w:rsid w:val="009435EE"/>
    <w:rsid w:val="00961780"/>
    <w:rsid w:val="00966126"/>
    <w:rsid w:val="00966601"/>
    <w:rsid w:val="009759F2"/>
    <w:rsid w:val="00995940"/>
    <w:rsid w:val="00997ABA"/>
    <w:rsid w:val="009A1214"/>
    <w:rsid w:val="009A70F1"/>
    <w:rsid w:val="009B747B"/>
    <w:rsid w:val="009C1504"/>
    <w:rsid w:val="009D1FBF"/>
    <w:rsid w:val="009D2234"/>
    <w:rsid w:val="009D7A61"/>
    <w:rsid w:val="009E2B40"/>
    <w:rsid w:val="009E53D5"/>
    <w:rsid w:val="009E77FF"/>
    <w:rsid w:val="009F2D1E"/>
    <w:rsid w:val="00A13E3E"/>
    <w:rsid w:val="00A14A64"/>
    <w:rsid w:val="00A21541"/>
    <w:rsid w:val="00A30D70"/>
    <w:rsid w:val="00A31187"/>
    <w:rsid w:val="00A31B59"/>
    <w:rsid w:val="00A512F6"/>
    <w:rsid w:val="00A529FD"/>
    <w:rsid w:val="00A53332"/>
    <w:rsid w:val="00A61227"/>
    <w:rsid w:val="00A6176D"/>
    <w:rsid w:val="00A620EA"/>
    <w:rsid w:val="00A90F5E"/>
    <w:rsid w:val="00AB5907"/>
    <w:rsid w:val="00AB628C"/>
    <w:rsid w:val="00AB7BF4"/>
    <w:rsid w:val="00AC46D7"/>
    <w:rsid w:val="00AE6B9B"/>
    <w:rsid w:val="00B135E9"/>
    <w:rsid w:val="00B20A37"/>
    <w:rsid w:val="00B30E07"/>
    <w:rsid w:val="00B610E1"/>
    <w:rsid w:val="00B769D0"/>
    <w:rsid w:val="00B81AF7"/>
    <w:rsid w:val="00B84224"/>
    <w:rsid w:val="00B90FA1"/>
    <w:rsid w:val="00B974E1"/>
    <w:rsid w:val="00BA0DD7"/>
    <w:rsid w:val="00BB0065"/>
    <w:rsid w:val="00BC7707"/>
    <w:rsid w:val="00BE39DE"/>
    <w:rsid w:val="00C107BB"/>
    <w:rsid w:val="00C16371"/>
    <w:rsid w:val="00C27AEA"/>
    <w:rsid w:val="00C567A0"/>
    <w:rsid w:val="00C8472B"/>
    <w:rsid w:val="00C9138C"/>
    <w:rsid w:val="00CB28F9"/>
    <w:rsid w:val="00CD265F"/>
    <w:rsid w:val="00CD2F20"/>
    <w:rsid w:val="00CD7868"/>
    <w:rsid w:val="00CE0B18"/>
    <w:rsid w:val="00CE6E1A"/>
    <w:rsid w:val="00CF0F92"/>
    <w:rsid w:val="00CF7084"/>
    <w:rsid w:val="00D01194"/>
    <w:rsid w:val="00D03B72"/>
    <w:rsid w:val="00D265E9"/>
    <w:rsid w:val="00D37419"/>
    <w:rsid w:val="00D44CF4"/>
    <w:rsid w:val="00D52900"/>
    <w:rsid w:val="00D646B6"/>
    <w:rsid w:val="00D76D74"/>
    <w:rsid w:val="00D905AB"/>
    <w:rsid w:val="00D9073A"/>
    <w:rsid w:val="00D97013"/>
    <w:rsid w:val="00D977E1"/>
    <w:rsid w:val="00DA0909"/>
    <w:rsid w:val="00DB0DB2"/>
    <w:rsid w:val="00DB2173"/>
    <w:rsid w:val="00DC2435"/>
    <w:rsid w:val="00DC4F76"/>
    <w:rsid w:val="00DD1D12"/>
    <w:rsid w:val="00DD2E17"/>
    <w:rsid w:val="00DD3E45"/>
    <w:rsid w:val="00DD64B1"/>
    <w:rsid w:val="00DE7E04"/>
    <w:rsid w:val="00DF6D94"/>
    <w:rsid w:val="00DF71CE"/>
    <w:rsid w:val="00DF78AD"/>
    <w:rsid w:val="00E00BD2"/>
    <w:rsid w:val="00E03FB1"/>
    <w:rsid w:val="00E052EE"/>
    <w:rsid w:val="00E053CF"/>
    <w:rsid w:val="00E2547F"/>
    <w:rsid w:val="00E37F48"/>
    <w:rsid w:val="00E403C2"/>
    <w:rsid w:val="00E41423"/>
    <w:rsid w:val="00E430B6"/>
    <w:rsid w:val="00E44DD5"/>
    <w:rsid w:val="00E51D74"/>
    <w:rsid w:val="00E63598"/>
    <w:rsid w:val="00E72A8D"/>
    <w:rsid w:val="00E72DBD"/>
    <w:rsid w:val="00EC317E"/>
    <w:rsid w:val="00EC3E0E"/>
    <w:rsid w:val="00ED0D13"/>
    <w:rsid w:val="00ED7837"/>
    <w:rsid w:val="00EE0D07"/>
    <w:rsid w:val="00F12809"/>
    <w:rsid w:val="00F37311"/>
    <w:rsid w:val="00F43C57"/>
    <w:rsid w:val="00F63E11"/>
    <w:rsid w:val="00F71C18"/>
    <w:rsid w:val="00F76EA3"/>
    <w:rsid w:val="00F8432F"/>
    <w:rsid w:val="00F846D9"/>
    <w:rsid w:val="00F85302"/>
    <w:rsid w:val="00F85A33"/>
    <w:rsid w:val="00F9403C"/>
    <w:rsid w:val="00F95567"/>
    <w:rsid w:val="00F97B62"/>
    <w:rsid w:val="00FA5396"/>
    <w:rsid w:val="00FA735C"/>
    <w:rsid w:val="00FB6469"/>
    <w:rsid w:val="00FC09E2"/>
    <w:rsid w:val="00FE139B"/>
    <w:rsid w:val="00FF499D"/>
    <w:rsid w:val="0EB64613"/>
    <w:rsid w:val="7CC48F15"/>
    <w:rsid w:val="7D3A54FF"/>
    <w:rsid w:val="7DD006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BFB50"/>
  <w15:chartTrackingRefBased/>
  <w15:docId w15:val="{CD68A0D5-D864-490E-BF80-C372EAE6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14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14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14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14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11F"/>
    <w:rPr>
      <w:rFonts w:eastAsiaTheme="majorEastAsia" w:cstheme="majorBidi"/>
      <w:color w:val="272727" w:themeColor="text1" w:themeTint="D8"/>
    </w:rPr>
  </w:style>
  <w:style w:type="paragraph" w:styleId="Title">
    <w:name w:val="Title"/>
    <w:basedOn w:val="Normal"/>
    <w:next w:val="Normal"/>
    <w:link w:val="TitleChar"/>
    <w:uiPriority w:val="10"/>
    <w:qFormat/>
    <w:rsid w:val="00214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11F"/>
    <w:pPr>
      <w:spacing w:before="160"/>
      <w:jc w:val="center"/>
    </w:pPr>
    <w:rPr>
      <w:i/>
      <w:iCs/>
      <w:color w:val="404040" w:themeColor="text1" w:themeTint="BF"/>
    </w:rPr>
  </w:style>
  <w:style w:type="character" w:customStyle="1" w:styleId="QuoteChar">
    <w:name w:val="Quote Char"/>
    <w:basedOn w:val="DefaultParagraphFont"/>
    <w:link w:val="Quote"/>
    <w:uiPriority w:val="29"/>
    <w:rsid w:val="0021411F"/>
    <w:rPr>
      <w:i/>
      <w:iCs/>
      <w:color w:val="404040" w:themeColor="text1" w:themeTint="BF"/>
    </w:rPr>
  </w:style>
  <w:style w:type="paragraph" w:styleId="ListParagraph">
    <w:name w:val="List Paragraph"/>
    <w:basedOn w:val="Normal"/>
    <w:uiPriority w:val="34"/>
    <w:qFormat/>
    <w:rsid w:val="0021411F"/>
    <w:pPr>
      <w:ind w:left="720"/>
      <w:contextualSpacing/>
    </w:pPr>
  </w:style>
  <w:style w:type="character" w:styleId="IntenseEmphasis">
    <w:name w:val="Intense Emphasis"/>
    <w:basedOn w:val="DefaultParagraphFont"/>
    <w:uiPriority w:val="21"/>
    <w:qFormat/>
    <w:rsid w:val="0021411F"/>
    <w:rPr>
      <w:i/>
      <w:iCs/>
      <w:color w:val="0F4761" w:themeColor="accent1" w:themeShade="BF"/>
    </w:rPr>
  </w:style>
  <w:style w:type="paragraph" w:styleId="IntenseQuote">
    <w:name w:val="Intense Quote"/>
    <w:basedOn w:val="Normal"/>
    <w:next w:val="Normal"/>
    <w:link w:val="IntenseQuoteChar"/>
    <w:uiPriority w:val="30"/>
    <w:qFormat/>
    <w:rsid w:val="00214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11F"/>
    <w:rPr>
      <w:i/>
      <w:iCs/>
      <w:color w:val="0F4761" w:themeColor="accent1" w:themeShade="BF"/>
    </w:rPr>
  </w:style>
  <w:style w:type="character" w:styleId="IntenseReference">
    <w:name w:val="Intense Reference"/>
    <w:basedOn w:val="DefaultParagraphFont"/>
    <w:uiPriority w:val="32"/>
    <w:qFormat/>
    <w:rsid w:val="0021411F"/>
    <w:rPr>
      <w:b/>
      <w:bCs/>
      <w:smallCaps/>
      <w:color w:val="0F4761" w:themeColor="accent1" w:themeShade="BF"/>
      <w:spacing w:val="5"/>
    </w:rPr>
  </w:style>
  <w:style w:type="paragraph" w:styleId="NormalWeb">
    <w:name w:val="Normal (Web)"/>
    <w:basedOn w:val="Normal"/>
    <w:uiPriority w:val="99"/>
    <w:unhideWhenUsed/>
    <w:rsid w:val="00027E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A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35EE"/>
    <w:rPr>
      <w:b/>
      <w:bCs/>
    </w:rPr>
  </w:style>
  <w:style w:type="paragraph" w:styleId="Revision">
    <w:name w:val="Revision"/>
    <w:hidden/>
    <w:uiPriority w:val="99"/>
    <w:semiHidden/>
    <w:rsid w:val="00AC46D7"/>
    <w:pPr>
      <w:spacing w:after="0" w:line="240" w:lineRule="auto"/>
    </w:pPr>
  </w:style>
  <w:style w:type="paragraph" w:styleId="NoSpacing">
    <w:name w:val="No Spacing"/>
    <w:uiPriority w:val="1"/>
    <w:qFormat/>
    <w:rsid w:val="009E53D5"/>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223CF"/>
    <w:rPr>
      <w:color w:val="467886" w:themeColor="hyperlink"/>
      <w:u w:val="single"/>
    </w:rPr>
  </w:style>
  <w:style w:type="character" w:styleId="UnresolvedMention">
    <w:name w:val="Unresolved Mention"/>
    <w:basedOn w:val="DefaultParagraphFont"/>
    <w:uiPriority w:val="99"/>
    <w:semiHidden/>
    <w:unhideWhenUsed/>
    <w:rsid w:val="001223CF"/>
    <w:rPr>
      <w:color w:val="605E5C"/>
      <w:shd w:val="clear" w:color="auto" w:fill="E1DFDD"/>
    </w:rPr>
  </w:style>
  <w:style w:type="character" w:styleId="FollowedHyperlink">
    <w:name w:val="FollowedHyperlink"/>
    <w:basedOn w:val="DefaultParagraphFont"/>
    <w:uiPriority w:val="99"/>
    <w:semiHidden/>
    <w:unhideWhenUsed/>
    <w:rsid w:val="001223CF"/>
    <w:rPr>
      <w:color w:val="96607D" w:themeColor="followedHyperlink"/>
      <w:u w:val="single"/>
    </w:rPr>
  </w:style>
  <w:style w:type="paragraph" w:styleId="Header">
    <w:name w:val="header"/>
    <w:basedOn w:val="Normal"/>
    <w:link w:val="HeaderChar"/>
    <w:uiPriority w:val="99"/>
    <w:unhideWhenUsed/>
    <w:rsid w:val="00592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0E7"/>
  </w:style>
  <w:style w:type="paragraph" w:styleId="Footer">
    <w:name w:val="footer"/>
    <w:basedOn w:val="Normal"/>
    <w:link w:val="FooterChar"/>
    <w:uiPriority w:val="99"/>
    <w:unhideWhenUsed/>
    <w:rsid w:val="00592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0E7"/>
  </w:style>
  <w:style w:type="paragraph" w:styleId="CommentSubject">
    <w:name w:val="annotation subject"/>
    <w:basedOn w:val="CommentText"/>
    <w:next w:val="CommentText"/>
    <w:link w:val="CommentSubjectChar"/>
    <w:uiPriority w:val="99"/>
    <w:semiHidden/>
    <w:unhideWhenUsed/>
    <w:rsid w:val="005920E7"/>
    <w:rPr>
      <w:b/>
      <w:bCs/>
    </w:rPr>
  </w:style>
  <w:style w:type="character" w:customStyle="1" w:styleId="CommentSubjectChar">
    <w:name w:val="Comment Subject Char"/>
    <w:basedOn w:val="CommentTextChar"/>
    <w:link w:val="CommentSubject"/>
    <w:uiPriority w:val="99"/>
    <w:semiHidden/>
    <w:rsid w:val="005920E7"/>
    <w:rPr>
      <w:b/>
      <w:bCs/>
      <w:sz w:val="20"/>
      <w:szCs w:val="20"/>
    </w:rPr>
  </w:style>
  <w:style w:type="paragraph" w:customStyle="1" w:styleId="pf0">
    <w:name w:val="pf0"/>
    <w:basedOn w:val="Normal"/>
    <w:rsid w:val="00226120"/>
    <w:pPr>
      <w:spacing w:before="100" w:beforeAutospacing="1" w:after="100" w:afterAutospacing="1" w:line="240" w:lineRule="auto"/>
      <w:ind w:left="720"/>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2261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8751">
      <w:bodyDiv w:val="1"/>
      <w:marLeft w:val="0"/>
      <w:marRight w:val="0"/>
      <w:marTop w:val="0"/>
      <w:marBottom w:val="0"/>
      <w:divBdr>
        <w:top w:val="none" w:sz="0" w:space="0" w:color="auto"/>
        <w:left w:val="none" w:sz="0" w:space="0" w:color="auto"/>
        <w:bottom w:val="none" w:sz="0" w:space="0" w:color="auto"/>
        <w:right w:val="none" w:sz="0" w:space="0" w:color="auto"/>
      </w:divBdr>
    </w:div>
    <w:div w:id="199168678">
      <w:bodyDiv w:val="1"/>
      <w:marLeft w:val="0"/>
      <w:marRight w:val="0"/>
      <w:marTop w:val="0"/>
      <w:marBottom w:val="0"/>
      <w:divBdr>
        <w:top w:val="none" w:sz="0" w:space="0" w:color="auto"/>
        <w:left w:val="none" w:sz="0" w:space="0" w:color="auto"/>
        <w:bottom w:val="none" w:sz="0" w:space="0" w:color="auto"/>
        <w:right w:val="none" w:sz="0" w:space="0" w:color="auto"/>
      </w:divBdr>
    </w:div>
    <w:div w:id="587034872">
      <w:bodyDiv w:val="1"/>
      <w:marLeft w:val="0"/>
      <w:marRight w:val="0"/>
      <w:marTop w:val="0"/>
      <w:marBottom w:val="0"/>
      <w:divBdr>
        <w:top w:val="none" w:sz="0" w:space="0" w:color="auto"/>
        <w:left w:val="none" w:sz="0" w:space="0" w:color="auto"/>
        <w:bottom w:val="none" w:sz="0" w:space="0" w:color="auto"/>
        <w:right w:val="none" w:sz="0" w:space="0" w:color="auto"/>
      </w:divBdr>
    </w:div>
    <w:div w:id="961765616">
      <w:bodyDiv w:val="1"/>
      <w:marLeft w:val="0"/>
      <w:marRight w:val="0"/>
      <w:marTop w:val="0"/>
      <w:marBottom w:val="0"/>
      <w:divBdr>
        <w:top w:val="none" w:sz="0" w:space="0" w:color="auto"/>
        <w:left w:val="none" w:sz="0" w:space="0" w:color="auto"/>
        <w:bottom w:val="none" w:sz="0" w:space="0" w:color="auto"/>
        <w:right w:val="none" w:sz="0" w:space="0" w:color="auto"/>
      </w:divBdr>
    </w:div>
    <w:div w:id="965819844">
      <w:bodyDiv w:val="1"/>
      <w:marLeft w:val="0"/>
      <w:marRight w:val="0"/>
      <w:marTop w:val="0"/>
      <w:marBottom w:val="0"/>
      <w:divBdr>
        <w:top w:val="none" w:sz="0" w:space="0" w:color="auto"/>
        <w:left w:val="none" w:sz="0" w:space="0" w:color="auto"/>
        <w:bottom w:val="none" w:sz="0" w:space="0" w:color="auto"/>
        <w:right w:val="none" w:sz="0" w:space="0" w:color="auto"/>
      </w:divBdr>
    </w:div>
    <w:div w:id="1457600136">
      <w:bodyDiv w:val="1"/>
      <w:marLeft w:val="0"/>
      <w:marRight w:val="0"/>
      <w:marTop w:val="0"/>
      <w:marBottom w:val="0"/>
      <w:divBdr>
        <w:top w:val="none" w:sz="0" w:space="0" w:color="auto"/>
        <w:left w:val="none" w:sz="0" w:space="0" w:color="auto"/>
        <w:bottom w:val="none" w:sz="0" w:space="0" w:color="auto"/>
        <w:right w:val="none" w:sz="0" w:space="0" w:color="auto"/>
      </w:divBdr>
    </w:div>
    <w:div w:id="1897470729">
      <w:bodyDiv w:val="1"/>
      <w:marLeft w:val="0"/>
      <w:marRight w:val="0"/>
      <w:marTop w:val="0"/>
      <w:marBottom w:val="0"/>
      <w:divBdr>
        <w:top w:val="none" w:sz="0" w:space="0" w:color="auto"/>
        <w:left w:val="none" w:sz="0" w:space="0" w:color="auto"/>
        <w:bottom w:val="none" w:sz="0" w:space="0" w:color="auto"/>
        <w:right w:val="none" w:sz="0" w:space="0" w:color="auto"/>
      </w:divBdr>
    </w:div>
    <w:div w:id="19274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vents.teams.microsoft.com/event/bf6cdfb9-61af-478f-9d7b-71db321031f5@0f9e35db-544f-4f60-bdcc-5ea416e6dc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Orvananos</dc:creator>
  <cp:keywords/>
  <dc:description/>
  <cp:lastModifiedBy>Ombretta Tempra</cp:lastModifiedBy>
  <cp:revision>5</cp:revision>
  <cp:lastPrinted>2024-06-19T10:04:00Z</cp:lastPrinted>
  <dcterms:created xsi:type="dcterms:W3CDTF">2024-06-23T13:51:00Z</dcterms:created>
  <dcterms:modified xsi:type="dcterms:W3CDTF">2024-07-02T12:24:00Z</dcterms:modified>
</cp:coreProperties>
</file>